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hint="eastAsia" w:ascii="黑体" w:hAnsi="黑体" w:eastAsia="黑体" w:cs="宋体-方正超大字符集"/>
          <w:b/>
          <w:bCs/>
          <w:sz w:val="44"/>
          <w:szCs w:val="44"/>
        </w:rPr>
      </w:pPr>
      <w:r>
        <w:rPr>
          <w:rFonts w:hint="eastAsia" w:ascii="黑体" w:hAnsi="黑体" w:eastAsia="黑体" w:cs="宋体-方正超大字符集"/>
          <w:b/>
          <w:bCs/>
          <w:sz w:val="44"/>
          <w:szCs w:val="44"/>
        </w:rPr>
        <w:t>双桥区土地收购储备中心202</w:t>
      </w:r>
      <w:r>
        <w:rPr>
          <w:rFonts w:hint="eastAsia" w:ascii="黑体" w:hAnsi="黑体" w:eastAsia="黑体" w:cs="宋体-方正超大字符集"/>
          <w:b/>
          <w:bCs/>
          <w:sz w:val="44"/>
          <w:szCs w:val="44"/>
          <w:lang w:val="en-US" w:eastAsia="zh-CN"/>
        </w:rPr>
        <w:t>1</w:t>
      </w:r>
      <w:bookmarkStart w:id="25" w:name="_GoBack"/>
      <w:bookmarkEnd w:id="25"/>
      <w:r>
        <w:rPr>
          <w:rFonts w:hint="eastAsia" w:ascii="黑体" w:hAnsi="黑体" w:eastAsia="黑体" w:cs="宋体-方正超大字符集"/>
          <w:b/>
          <w:bCs/>
          <w:sz w:val="44"/>
          <w:szCs w:val="44"/>
        </w:rPr>
        <w:t>年部门预算信息公开目录</w:t>
      </w:r>
    </w:p>
    <w:p>
      <w:pPr>
        <w:spacing w:line="240" w:lineRule="auto"/>
        <w:ind w:firstLine="0" w:firstLineChars="0"/>
        <w:jc w:val="center"/>
        <w:rPr>
          <w:rFonts w:hint="eastAsia" w:ascii="黑体" w:hAnsi="黑体" w:eastAsia="黑体" w:cs="宋体-方正超大字符集"/>
          <w:b/>
          <w:bCs/>
          <w:sz w:val="44"/>
          <w:szCs w:val="44"/>
        </w:rPr>
      </w:pPr>
    </w:p>
    <w:p>
      <w:pPr>
        <w:spacing w:line="240" w:lineRule="auto"/>
        <w:ind w:firstLine="0" w:firstLineChars="0"/>
        <w:jc w:val="center"/>
        <w:rPr>
          <w:rFonts w:hint="eastAsia" w:ascii="黑体" w:hAnsi="黑体" w:eastAsia="黑体" w:cs="宋体-方正超大字符集"/>
          <w:b/>
          <w:bCs/>
          <w:sz w:val="44"/>
          <w:szCs w:val="44"/>
        </w:rPr>
      </w:pPr>
    </w:p>
    <w:p>
      <w:pPr>
        <w:pStyle w:val="4"/>
        <w:tabs>
          <w:tab w:val="right" w:leader="dot" w:pos="13721"/>
        </w:tabs>
        <w:rPr>
          <w:rFonts w:hint="eastAsia" w:ascii="宋体" w:hAnsi="宋体" w:eastAsia="宋体" w:cs="宋体"/>
          <w:sz w:val="28"/>
          <w:szCs w:val="28"/>
        </w:rPr>
      </w:pPr>
      <w:r>
        <w:fldChar w:fldCharType="begin"/>
      </w:r>
      <w:r>
        <w:instrText xml:space="preserve">TOC \o "1-1" \h \u </w:instrText>
      </w:r>
      <w: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_Toc2420 </w:instrText>
      </w:r>
      <w:r>
        <w:rPr>
          <w:rFonts w:hint="eastAsia" w:ascii="宋体" w:hAnsi="宋体" w:eastAsia="宋体" w:cs="宋体"/>
          <w:sz w:val="28"/>
          <w:szCs w:val="28"/>
        </w:rPr>
        <w:fldChar w:fldCharType="separate"/>
      </w:r>
      <w:r>
        <w:rPr>
          <w:rFonts w:hint="eastAsia" w:ascii="宋体" w:hAnsi="宋体" w:eastAsia="宋体" w:cs="宋体"/>
          <w:bCs/>
          <w:i w:val="0"/>
          <w:iCs w:val="0"/>
          <w:kern w:val="0"/>
          <w:sz w:val="28"/>
          <w:szCs w:val="28"/>
          <w:lang w:val="en-US" w:eastAsia="zh-CN" w:bidi="ar"/>
        </w:rPr>
        <w:t>部门预算收支总表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_Toc2420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_Toc31421 </w:instrText>
      </w:r>
      <w:r>
        <w:rPr>
          <w:rFonts w:hint="eastAsia" w:ascii="宋体" w:hAnsi="宋体" w:eastAsia="宋体" w:cs="宋体"/>
          <w:sz w:val="28"/>
          <w:szCs w:val="28"/>
        </w:rPr>
        <w:fldChar w:fldCharType="separate"/>
      </w:r>
      <w:r>
        <w:rPr>
          <w:rFonts w:hint="eastAsia" w:ascii="宋体" w:hAnsi="宋体" w:eastAsia="宋体" w:cs="宋体"/>
          <w:bCs/>
          <w:i w:val="0"/>
          <w:iCs w:val="0"/>
          <w:kern w:val="0"/>
          <w:sz w:val="28"/>
          <w:szCs w:val="28"/>
          <w:lang w:val="en-US" w:eastAsia="zh-CN" w:bidi="ar"/>
        </w:rPr>
        <w:t>部门预算收入总表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_Toc31421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_Toc26773 </w:instrText>
      </w:r>
      <w:r>
        <w:rPr>
          <w:rFonts w:hint="eastAsia" w:ascii="宋体" w:hAnsi="宋体" w:eastAsia="宋体" w:cs="宋体"/>
          <w:sz w:val="28"/>
          <w:szCs w:val="28"/>
        </w:rPr>
        <w:fldChar w:fldCharType="separate"/>
      </w:r>
      <w:r>
        <w:rPr>
          <w:rFonts w:hint="eastAsia" w:ascii="宋体" w:hAnsi="宋体" w:eastAsia="宋体" w:cs="宋体"/>
          <w:bCs/>
          <w:i w:val="0"/>
          <w:iCs w:val="0"/>
          <w:kern w:val="0"/>
          <w:sz w:val="28"/>
          <w:szCs w:val="28"/>
          <w:lang w:val="en-US" w:eastAsia="zh-CN" w:bidi="ar"/>
        </w:rPr>
        <w:t>部门预算支出总表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_Toc26773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_Toc2021 </w:instrText>
      </w:r>
      <w:r>
        <w:rPr>
          <w:rFonts w:hint="eastAsia" w:ascii="宋体" w:hAnsi="宋体" w:eastAsia="宋体" w:cs="宋体"/>
          <w:sz w:val="28"/>
          <w:szCs w:val="28"/>
        </w:rPr>
        <w:fldChar w:fldCharType="separate"/>
      </w:r>
      <w:r>
        <w:rPr>
          <w:rFonts w:hint="eastAsia" w:ascii="宋体" w:hAnsi="宋体" w:eastAsia="宋体" w:cs="宋体"/>
          <w:bCs/>
          <w:i w:val="0"/>
          <w:iCs w:val="0"/>
          <w:kern w:val="0"/>
          <w:sz w:val="28"/>
          <w:szCs w:val="28"/>
          <w:lang w:val="en-US" w:eastAsia="zh-CN" w:bidi="ar"/>
        </w:rPr>
        <w:t>部门预算财政拨款收支总表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_Toc2021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_Toc9629 </w:instrText>
      </w:r>
      <w:r>
        <w:rPr>
          <w:rFonts w:hint="eastAsia" w:ascii="宋体" w:hAnsi="宋体" w:eastAsia="宋体" w:cs="宋体"/>
          <w:sz w:val="28"/>
          <w:szCs w:val="28"/>
        </w:rPr>
        <w:fldChar w:fldCharType="separate"/>
      </w:r>
      <w:r>
        <w:rPr>
          <w:rFonts w:hint="eastAsia" w:ascii="宋体" w:hAnsi="宋体" w:eastAsia="宋体" w:cs="宋体"/>
          <w:bCs/>
          <w:i w:val="0"/>
          <w:iCs w:val="0"/>
          <w:kern w:val="0"/>
          <w:sz w:val="28"/>
          <w:szCs w:val="28"/>
          <w:lang w:val="en-US" w:eastAsia="zh-CN" w:bidi="ar"/>
        </w:rPr>
        <w:t>部门预算一般公共预算财政拨款支出表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_Toc9629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_Toc30443 </w:instrText>
      </w:r>
      <w:r>
        <w:rPr>
          <w:rFonts w:hint="eastAsia" w:ascii="宋体" w:hAnsi="宋体" w:eastAsia="宋体" w:cs="宋体"/>
          <w:sz w:val="28"/>
          <w:szCs w:val="28"/>
        </w:rPr>
        <w:fldChar w:fldCharType="separate"/>
      </w:r>
      <w:r>
        <w:rPr>
          <w:rFonts w:hint="eastAsia" w:ascii="宋体" w:hAnsi="宋体" w:eastAsia="宋体" w:cs="宋体"/>
          <w:bCs/>
          <w:i w:val="0"/>
          <w:iCs w:val="0"/>
          <w:kern w:val="0"/>
          <w:sz w:val="28"/>
          <w:szCs w:val="28"/>
          <w:lang w:val="en-US" w:eastAsia="zh-CN" w:bidi="ar"/>
        </w:rPr>
        <w:t>部门预算一般公共预算财政拨款基本支出表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_Toc30443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_Toc27470 </w:instrText>
      </w:r>
      <w:r>
        <w:rPr>
          <w:rFonts w:hint="eastAsia" w:ascii="宋体" w:hAnsi="宋体" w:eastAsia="宋体" w:cs="宋体"/>
          <w:sz w:val="28"/>
          <w:szCs w:val="28"/>
        </w:rPr>
        <w:fldChar w:fldCharType="separate"/>
      </w:r>
      <w:r>
        <w:rPr>
          <w:rFonts w:hint="eastAsia" w:ascii="宋体" w:hAnsi="宋体" w:eastAsia="宋体" w:cs="宋体"/>
          <w:bCs/>
          <w:i w:val="0"/>
          <w:iCs w:val="0"/>
          <w:kern w:val="0"/>
          <w:sz w:val="28"/>
          <w:szCs w:val="28"/>
          <w:lang w:val="en-US" w:eastAsia="zh-CN" w:bidi="ar"/>
        </w:rPr>
        <w:t>部门预算政府基金预算财政拨款支出表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_Toc27470 \h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_Toc24110 </w:instrText>
      </w:r>
      <w:r>
        <w:rPr>
          <w:rFonts w:hint="eastAsia" w:ascii="宋体" w:hAnsi="宋体" w:eastAsia="宋体" w:cs="宋体"/>
          <w:sz w:val="28"/>
          <w:szCs w:val="28"/>
        </w:rPr>
        <w:fldChar w:fldCharType="separate"/>
      </w:r>
      <w:r>
        <w:rPr>
          <w:rFonts w:hint="eastAsia" w:ascii="宋体" w:hAnsi="宋体" w:eastAsia="宋体" w:cs="宋体"/>
          <w:bCs/>
          <w:i w:val="0"/>
          <w:iCs w:val="0"/>
          <w:kern w:val="0"/>
          <w:sz w:val="28"/>
          <w:szCs w:val="28"/>
          <w:lang w:val="en-US" w:eastAsia="zh-CN" w:bidi="ar"/>
        </w:rPr>
        <w:t>部门预算国有资本经营预算财政拨款支出表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_Toc24110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_Toc15014 </w:instrText>
      </w:r>
      <w:r>
        <w:rPr>
          <w:rFonts w:hint="eastAsia" w:ascii="宋体" w:hAnsi="宋体" w:eastAsia="宋体" w:cs="宋体"/>
          <w:sz w:val="28"/>
          <w:szCs w:val="28"/>
        </w:rPr>
        <w:fldChar w:fldCharType="separate"/>
      </w:r>
      <w:r>
        <w:rPr>
          <w:rFonts w:hint="eastAsia" w:ascii="宋体" w:hAnsi="宋体" w:eastAsia="宋体" w:cs="宋体"/>
          <w:bCs/>
          <w:i w:val="0"/>
          <w:iCs w:val="0"/>
          <w:kern w:val="0"/>
          <w:sz w:val="28"/>
          <w:szCs w:val="28"/>
          <w:lang w:val="en-US" w:eastAsia="zh-CN" w:bidi="ar"/>
        </w:rPr>
        <w:t>部门预算财政拨款“三公”经费支出表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_Toc15014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pPr>
    </w:p>
    <w:p>
      <w:pPr>
        <w:pStyle w:val="4"/>
        <w:tabs>
          <w:tab w:val="right" w:leader="dot" w:pos="13721"/>
        </w:tabs>
      </w:pPr>
    </w:p>
    <w:p>
      <w:pPr>
        <w:pStyle w:val="4"/>
        <w:tabs>
          <w:tab w:val="right" w:leader="dot" w:pos="13721"/>
        </w:tabs>
      </w:pPr>
    </w:p>
    <w:p>
      <w:pPr>
        <w:pStyle w:val="4"/>
        <w:tabs>
          <w:tab w:val="right" w:leader="dot" w:pos="13721"/>
        </w:tabs>
      </w:pPr>
    </w:p>
    <w:p>
      <w:pPr>
        <w:pStyle w:val="4"/>
        <w:tabs>
          <w:tab w:val="right" w:leader="dot" w:pos="13721"/>
        </w:tabs>
      </w:pPr>
    </w:p>
    <w:p>
      <w:pPr>
        <w:pStyle w:val="4"/>
        <w:tabs>
          <w:tab w:val="right" w:leader="dot" w:pos="13721"/>
        </w:tabs>
        <w:ind w:left="0" w:leftChars="0" w:firstLine="0" w:firstLineChars="0"/>
      </w:pPr>
    </w:p>
    <w:p>
      <w:pPr>
        <w:pStyle w:val="4"/>
        <w:tabs>
          <w:tab w:val="right" w:leader="dot" w:pos="13721"/>
        </w:tabs>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_Toc22114 </w:instrText>
      </w:r>
      <w:r>
        <w:rPr>
          <w:rFonts w:hint="eastAsia" w:ascii="宋体" w:hAnsi="宋体" w:eastAsia="宋体" w:cs="宋体"/>
          <w:sz w:val="28"/>
          <w:szCs w:val="28"/>
        </w:rPr>
        <w:fldChar w:fldCharType="separate"/>
      </w:r>
      <w:r>
        <w:rPr>
          <w:rFonts w:hint="eastAsia" w:ascii="宋体" w:hAnsi="宋体" w:eastAsia="宋体" w:cs="宋体"/>
          <w:sz w:val="28"/>
          <w:szCs w:val="28"/>
        </w:rPr>
        <w:t>部门预算信息公开情况说明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_Toc22114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_Toc15988 </w:instrText>
      </w:r>
      <w:r>
        <w:rPr>
          <w:rFonts w:hint="eastAsia" w:ascii="宋体" w:hAnsi="宋体" w:eastAsia="宋体" w:cs="宋体"/>
          <w:sz w:val="28"/>
          <w:szCs w:val="28"/>
        </w:rPr>
        <w:fldChar w:fldCharType="separate"/>
      </w:r>
      <w:r>
        <w:rPr>
          <w:rFonts w:hint="eastAsia" w:ascii="宋体" w:hAnsi="宋体" w:eastAsia="宋体" w:cs="宋体"/>
          <w:snapToGrid w:val="0"/>
          <w:kern w:val="0"/>
          <w:sz w:val="28"/>
          <w:szCs w:val="28"/>
        </w:rPr>
        <w:t xml:space="preserve">一、 </w:t>
      </w:r>
      <w:r>
        <w:rPr>
          <w:rFonts w:hint="eastAsia" w:ascii="宋体" w:hAnsi="宋体" w:eastAsia="宋体" w:cs="宋体"/>
          <w:bCs/>
          <w:sz w:val="28"/>
          <w:szCs w:val="28"/>
        </w:rPr>
        <w:t>部门职责及机构设置情况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_Toc15988 \h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_Toc10335 </w:instrText>
      </w:r>
      <w:r>
        <w:rPr>
          <w:rFonts w:hint="eastAsia" w:ascii="宋体" w:hAnsi="宋体" w:eastAsia="宋体" w:cs="宋体"/>
          <w:sz w:val="28"/>
          <w:szCs w:val="28"/>
        </w:rPr>
        <w:fldChar w:fldCharType="separate"/>
      </w:r>
      <w:r>
        <w:rPr>
          <w:rFonts w:hint="eastAsia" w:ascii="宋体" w:hAnsi="宋体" w:eastAsia="宋体" w:cs="宋体"/>
          <w:bCs/>
          <w:sz w:val="28"/>
          <w:szCs w:val="28"/>
        </w:rPr>
        <w:t>二、部门预算安排的总体情况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_Toc10335 \h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_Toc18532 </w:instrText>
      </w:r>
      <w:r>
        <w:rPr>
          <w:rFonts w:hint="eastAsia" w:ascii="宋体" w:hAnsi="宋体" w:eastAsia="宋体" w:cs="宋体"/>
          <w:sz w:val="28"/>
          <w:szCs w:val="28"/>
        </w:rPr>
        <w:fldChar w:fldCharType="separate"/>
      </w:r>
      <w:r>
        <w:rPr>
          <w:rFonts w:hint="eastAsia" w:ascii="宋体" w:hAnsi="宋体" w:eastAsia="宋体" w:cs="宋体"/>
          <w:bCs/>
          <w:sz w:val="28"/>
          <w:szCs w:val="28"/>
        </w:rPr>
        <w:t>三、 机关运行经费安排情况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_Toc18532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_Toc17012 </w:instrText>
      </w:r>
      <w:r>
        <w:rPr>
          <w:rFonts w:hint="eastAsia" w:ascii="宋体" w:hAnsi="宋体" w:eastAsia="宋体" w:cs="宋体"/>
          <w:sz w:val="28"/>
          <w:szCs w:val="28"/>
        </w:rPr>
        <w:fldChar w:fldCharType="separate"/>
      </w:r>
      <w:r>
        <w:rPr>
          <w:rFonts w:hint="eastAsia" w:ascii="宋体" w:hAnsi="宋体" w:eastAsia="宋体" w:cs="宋体"/>
          <w:bCs/>
          <w:sz w:val="28"/>
          <w:szCs w:val="28"/>
        </w:rPr>
        <w:t>四、 财政拨款“三公”经费预算情况及增减变化原因</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_Toc17012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_Toc11164 </w:instrText>
      </w:r>
      <w:r>
        <w:rPr>
          <w:rFonts w:hint="eastAsia" w:ascii="宋体" w:hAnsi="宋体" w:eastAsia="宋体" w:cs="宋体"/>
          <w:sz w:val="28"/>
          <w:szCs w:val="28"/>
        </w:rPr>
        <w:fldChar w:fldCharType="separate"/>
      </w:r>
      <w:r>
        <w:rPr>
          <w:rFonts w:hint="eastAsia" w:ascii="宋体" w:hAnsi="宋体" w:eastAsia="宋体" w:cs="宋体"/>
          <w:sz w:val="28"/>
          <w:szCs w:val="28"/>
        </w:rPr>
        <w:t>五、预算绩效信息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_Toc11164 \h </w:instrText>
      </w:r>
      <w:r>
        <w:rPr>
          <w:rFonts w:hint="eastAsia" w:ascii="宋体" w:hAnsi="宋体" w:eastAsia="宋体" w:cs="宋体"/>
          <w:sz w:val="28"/>
          <w:szCs w:val="28"/>
        </w:rPr>
        <w:fldChar w:fldCharType="separate"/>
      </w:r>
      <w:r>
        <w:rPr>
          <w:rFonts w:hint="eastAsia" w:ascii="宋体" w:hAnsi="宋体" w:eastAsia="宋体" w:cs="宋体"/>
          <w:sz w:val="28"/>
          <w:szCs w:val="28"/>
        </w:rPr>
        <w:t>16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_Toc30990 </w:instrText>
      </w:r>
      <w:r>
        <w:rPr>
          <w:rFonts w:hint="eastAsia" w:ascii="宋体" w:hAnsi="宋体" w:eastAsia="宋体" w:cs="宋体"/>
          <w:sz w:val="28"/>
          <w:szCs w:val="28"/>
        </w:rPr>
        <w:fldChar w:fldCharType="separate"/>
      </w:r>
      <w:r>
        <w:rPr>
          <w:rFonts w:hint="eastAsia" w:ascii="宋体" w:hAnsi="宋体" w:eastAsia="宋体" w:cs="宋体"/>
          <w:sz w:val="28"/>
          <w:szCs w:val="28"/>
        </w:rPr>
        <w:t>六、政府采购预算情况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_Toc30990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_Toc2342 </w:instrText>
      </w:r>
      <w:r>
        <w:rPr>
          <w:rFonts w:hint="eastAsia" w:ascii="宋体" w:hAnsi="宋体" w:eastAsia="宋体" w:cs="宋体"/>
          <w:sz w:val="28"/>
          <w:szCs w:val="28"/>
        </w:rPr>
        <w:fldChar w:fldCharType="separate"/>
      </w:r>
      <w:r>
        <w:rPr>
          <w:rFonts w:hint="eastAsia" w:ascii="宋体" w:hAnsi="宋体" w:eastAsia="宋体" w:cs="宋体"/>
          <w:sz w:val="28"/>
          <w:szCs w:val="28"/>
        </w:rPr>
        <w:t>七、国有资产信息</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_Toc2342 \h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_Toc30209 </w:instrText>
      </w:r>
      <w:r>
        <w:rPr>
          <w:rFonts w:hint="eastAsia" w:ascii="宋体" w:hAnsi="宋体" w:eastAsia="宋体" w:cs="宋体"/>
          <w:sz w:val="28"/>
          <w:szCs w:val="28"/>
        </w:rPr>
        <w:fldChar w:fldCharType="separate"/>
      </w:r>
      <w:r>
        <w:rPr>
          <w:rFonts w:hint="eastAsia" w:ascii="宋体" w:hAnsi="宋体" w:eastAsia="宋体" w:cs="宋体"/>
          <w:bCs/>
          <w:sz w:val="28"/>
          <w:szCs w:val="28"/>
        </w:rPr>
        <w:t>八、名词解释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_Toc30209 \h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_Toc1207 </w:instrText>
      </w:r>
      <w:r>
        <w:rPr>
          <w:rFonts w:hint="eastAsia" w:ascii="宋体" w:hAnsi="宋体" w:eastAsia="宋体" w:cs="宋体"/>
          <w:sz w:val="28"/>
          <w:szCs w:val="28"/>
        </w:rPr>
        <w:fldChar w:fldCharType="separate"/>
      </w:r>
      <w:r>
        <w:rPr>
          <w:rFonts w:hint="eastAsia" w:ascii="宋体" w:hAnsi="宋体" w:eastAsia="宋体" w:cs="宋体"/>
          <w:bCs/>
          <w:sz w:val="28"/>
          <w:szCs w:val="28"/>
        </w:rPr>
        <w:t>九、其他需要说明的事项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_Toc1207 \h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4"/>
        <w:tabs>
          <w:tab w:val="right" w:leader="dot" w:pos="13721"/>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_Toc4789 </w:instrText>
      </w:r>
      <w:r>
        <w:rPr>
          <w:rFonts w:hint="eastAsia" w:ascii="宋体" w:hAnsi="宋体" w:eastAsia="宋体" w:cs="宋体"/>
          <w:sz w:val="28"/>
          <w:szCs w:val="28"/>
        </w:rPr>
        <w:fldChar w:fldCharType="separate"/>
      </w:r>
      <w:r>
        <w:rPr>
          <w:rFonts w:hint="eastAsia" w:ascii="宋体" w:hAnsi="宋体" w:eastAsia="宋体" w:cs="宋体"/>
          <w:sz w:val="28"/>
          <w:szCs w:val="28"/>
        </w:rPr>
        <w:t>十、预算批准</w:t>
      </w:r>
      <w:r>
        <w:rPr>
          <w:rFonts w:hint="eastAsia" w:ascii="宋体" w:hAnsi="宋体" w:eastAsia="宋体" w:cs="宋体"/>
          <w:sz w:val="28"/>
          <w:szCs w:val="28"/>
          <w:lang w:val="en-US" w:eastAsia="zh-CN"/>
        </w:rPr>
        <w:t>文件及</w:t>
      </w:r>
      <w:r>
        <w:rPr>
          <w:rFonts w:hint="eastAsia" w:ascii="宋体" w:hAnsi="宋体" w:eastAsia="宋体" w:cs="宋体"/>
          <w:sz w:val="28"/>
          <w:szCs w:val="28"/>
        </w:rPr>
        <w:t>日</w:t>
      </w:r>
      <w:r>
        <w:rPr>
          <w:rFonts w:hint="eastAsia" w:ascii="宋体" w:hAnsi="宋体" w:eastAsia="宋体" w:cs="宋体"/>
          <w:sz w:val="28"/>
          <w:szCs w:val="28"/>
          <w:lang w:val="en-US" w:eastAsia="zh-CN"/>
        </w:rPr>
        <w:t>期</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_Toc4789 \h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spacing w:line="240" w:lineRule="auto"/>
        <w:ind w:firstLine="0" w:firstLineChars="0"/>
        <w:jc w:val="center"/>
      </w:pPr>
      <w:r>
        <w:fldChar w:fldCharType="end"/>
      </w:r>
    </w:p>
    <w:p>
      <w:pPr>
        <w:pStyle w:val="2"/>
      </w:pPr>
    </w:p>
    <w:p>
      <w:pPr>
        <w:pStyle w:val="2"/>
      </w:pPr>
    </w:p>
    <w:p>
      <w:pPr>
        <w:pStyle w:val="2"/>
      </w:pPr>
    </w:p>
    <w:p>
      <w:pPr>
        <w:pStyle w:val="2"/>
      </w:pPr>
    </w:p>
    <w:p>
      <w:pPr>
        <w:pStyle w:val="2"/>
      </w:pPr>
    </w:p>
    <w:p>
      <w:pPr>
        <w:pStyle w:val="2"/>
      </w:pPr>
    </w:p>
    <w:p>
      <w:pPr>
        <w:pStyle w:val="2"/>
        <w:rPr>
          <w:rFonts w:hint="eastAsia"/>
        </w:rPr>
      </w:pP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3716"/>
        <w:gridCol w:w="1949"/>
        <w:gridCol w:w="3936"/>
        <w:gridCol w:w="3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5000" w:type="pct"/>
            <w:gridSpan w:val="5"/>
            <w:tcBorders>
              <w:top w:val="nil"/>
              <w:left w:val="nil"/>
              <w:bottom w:val="nil"/>
              <w:right w:val="nil"/>
            </w:tcBorders>
            <w:shd w:val="clear" w:color="FFFFFF" w:fill="FFFFFF" w:themeFill="background1"/>
            <w:vAlign w:val="center"/>
          </w:tcPr>
          <w:p>
            <w:pPr>
              <w:keepNext w:val="0"/>
              <w:keepLines w:val="0"/>
              <w:widowControl/>
              <w:suppressLineNumbers w:val="0"/>
              <w:jc w:val="center"/>
              <w:textAlignment w:val="center"/>
              <w:outlineLvl w:val="0"/>
              <w:rPr>
                <w:rFonts w:hint="eastAsia" w:ascii="宋体" w:hAnsi="宋体" w:eastAsia="宋体" w:cs="宋体"/>
                <w:b/>
                <w:bCs/>
                <w:i w:val="0"/>
                <w:iCs w:val="0"/>
                <w:color w:val="000000"/>
                <w:sz w:val="43"/>
                <w:szCs w:val="43"/>
                <w:u w:val="none"/>
              </w:rPr>
            </w:pPr>
            <w:bookmarkStart w:id="0" w:name="_Toc2420"/>
            <w:r>
              <w:rPr>
                <w:rFonts w:hint="eastAsia" w:ascii="宋体" w:hAnsi="宋体" w:eastAsia="宋体" w:cs="宋体"/>
                <w:b/>
                <w:bCs/>
                <w:i w:val="0"/>
                <w:iCs w:val="0"/>
                <w:color w:val="000000"/>
                <w:kern w:val="0"/>
                <w:sz w:val="43"/>
                <w:szCs w:val="43"/>
                <w:u w:val="none"/>
                <w:lang w:val="en-US" w:eastAsia="zh-CN" w:bidi="ar"/>
              </w:rPr>
              <w:t>部门预算收支总表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506" w:type="pct"/>
            <w:gridSpan w:val="3"/>
            <w:tcBorders>
              <w:top w:val="nil"/>
              <w:left w:val="nil"/>
              <w:bottom w:val="nil"/>
              <w:right w:val="nil"/>
            </w:tcBorders>
            <w:shd w:val="clear" w:color="FFFFFF"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预算单位编码及名称：[324]承德市双桥区土地收购储备中心</w:t>
            </w:r>
          </w:p>
        </w:tc>
        <w:tc>
          <w:tcPr>
            <w:tcW w:w="1188" w:type="pct"/>
            <w:tcBorders>
              <w:top w:val="nil"/>
              <w:left w:val="nil"/>
              <w:bottom w:val="nil"/>
              <w:right w:val="nil"/>
            </w:tcBorders>
            <w:shd w:val="clear" w:color="FFFFFF"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预算年度：2021</w:t>
            </w:r>
          </w:p>
        </w:tc>
        <w:tc>
          <w:tcPr>
            <w:tcW w:w="1304" w:type="pct"/>
            <w:tcBorders>
              <w:top w:val="nil"/>
              <w:left w:val="nil"/>
              <w:bottom w:val="nil"/>
              <w:right w:val="nil"/>
            </w:tcBorders>
            <w:shd w:val="clear" w:color="FFFFFF" w:fill="FFFFFF" w:themeFill="background1"/>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vMerge w:val="restart"/>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067" w:type="pct"/>
            <w:gridSpan w:val="2"/>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2493" w:type="pct"/>
            <w:gridSpan w:val="2"/>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vMerge w:val="continue"/>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jc w:val="center"/>
              <w:rPr>
                <w:rFonts w:hint="eastAsia" w:ascii="宋体" w:hAnsi="宋体" w:eastAsia="宋体" w:cs="宋体"/>
                <w:i w:val="0"/>
                <w:iCs w:val="0"/>
                <w:color w:val="000000"/>
                <w:sz w:val="22"/>
                <w:szCs w:val="22"/>
                <w:u w:val="none"/>
              </w:rPr>
            </w:pPr>
          </w:p>
        </w:tc>
        <w:tc>
          <w:tcPr>
            <w:tcW w:w="1273" w:type="pct"/>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794" w:type="pct"/>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188" w:type="pct"/>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1304" w:type="pct"/>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273" w:type="pct"/>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94" w:type="pct"/>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8" w:type="pct"/>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04" w:type="pct"/>
            <w:tcBorders>
              <w:top w:val="single" w:color="000000" w:sz="4" w:space="0"/>
              <w:left w:val="single" w:color="000000" w:sz="4" w:space="0"/>
              <w:bottom w:val="single" w:color="000000" w:sz="4" w:space="0"/>
              <w:right w:val="single" w:color="000000" w:sz="4" w:space="0"/>
            </w:tcBorders>
            <w:shd w:val="clear" w:color="FFFFFF"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一、一般公共预算拨款收入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118.85</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二、政府性基金预算拨款收入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三、国有资本经营预算拨款收入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四、财政专户管理资金收入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六、事业单位经营收入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七、上级补助收入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八、附属单位上缴收入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九、其他收入</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九、社会保险基金支出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十、卫生健康支出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十一、节能环保支出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十二、城乡社区支出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十三、农林水支出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十四、交通运输支出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十五、资源勘探工业信息等支出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十六、商业服务业等支出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十七、金融支出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十八、援助其他地区支出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十九、自然资源海洋气象等支出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二十、住房保障支出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二十一、粮油物资储备支出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二十二、国有资本经营预算支出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二十三、灾害防治及应急管理支出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二十四、预备费</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二十五、其他支出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二十六、转移性支出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二十七、债务还本支出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二十八、债务付息支出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二十九、债务发行费用支出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三十、抗疫特别国债安排的支出</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118.85</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上年结转结余</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年终结转结余</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2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收入总计</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118.85</w:t>
            </w:r>
          </w:p>
        </w:tc>
        <w:tc>
          <w:tcPr>
            <w:tcW w:w="11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支出总计</w:t>
            </w:r>
          </w:p>
        </w:tc>
        <w:tc>
          <w:tcPr>
            <w:tcW w:w="13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118.85</w:t>
            </w:r>
          </w:p>
        </w:tc>
      </w:tr>
    </w:tbl>
    <w:p>
      <w:pPr>
        <w:rPr>
          <w:sz w:val="22"/>
          <w:szCs w:val="22"/>
        </w:rPr>
      </w:pPr>
    </w:p>
    <w:p/>
    <w:p/>
    <w:p/>
    <w:p/>
    <w:p/>
    <w:p>
      <w:pPr>
        <w:pStyle w:val="2"/>
      </w:pPr>
    </w:p>
    <w:p>
      <w:pPr>
        <w:pStyle w:val="2"/>
      </w:pPr>
    </w:p>
    <w:p>
      <w:pPr>
        <w:pStyle w:val="2"/>
      </w:pPr>
    </w:p>
    <w:p>
      <w:pPr>
        <w:pStyle w:val="2"/>
      </w:pPr>
    </w:p>
    <w:p>
      <w:pPr>
        <w:pStyle w:val="2"/>
      </w:pPr>
    </w:p>
    <w:p>
      <w:pPr>
        <w:pStyle w:val="2"/>
      </w:pPr>
    </w:p>
    <w:p>
      <w:pPr>
        <w:pStyle w:val="2"/>
      </w:pPr>
    </w:p>
    <w:p>
      <w:pPr>
        <w:pStyle w:val="2"/>
      </w:pPr>
    </w:p>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8"/>
        <w:gridCol w:w="1217"/>
        <w:gridCol w:w="3363"/>
        <w:gridCol w:w="1131"/>
        <w:gridCol w:w="1131"/>
        <w:gridCol w:w="1131"/>
        <w:gridCol w:w="702"/>
        <w:gridCol w:w="702"/>
        <w:gridCol w:w="702"/>
        <w:gridCol w:w="703"/>
        <w:gridCol w:w="789"/>
        <w:gridCol w:w="789"/>
        <w:gridCol w:w="7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0" w:type="auto"/>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b/>
                <w:bCs/>
                <w:i w:val="0"/>
                <w:iCs w:val="0"/>
                <w:color w:val="000000"/>
                <w:sz w:val="43"/>
                <w:szCs w:val="43"/>
                <w:u w:val="none"/>
              </w:rPr>
            </w:pPr>
            <w:bookmarkStart w:id="1" w:name="_Toc31421"/>
            <w:r>
              <w:rPr>
                <w:rFonts w:hint="eastAsia" w:ascii="宋体" w:hAnsi="宋体" w:eastAsia="宋体" w:cs="宋体"/>
                <w:b/>
                <w:bCs/>
                <w:i w:val="0"/>
                <w:iCs w:val="0"/>
                <w:color w:val="000000"/>
                <w:kern w:val="0"/>
                <w:sz w:val="43"/>
                <w:szCs w:val="43"/>
                <w:u w:val="none"/>
                <w:lang w:val="en-US" w:eastAsia="zh-CN" w:bidi="ar"/>
              </w:rPr>
              <w:t>部门预算收入总表</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预算单位编码及名称：[324]承德市双桥区土地收购储备中心</w:t>
            </w:r>
          </w:p>
        </w:tc>
        <w:tc>
          <w:tcPr>
            <w:tcW w:w="0" w:type="auto"/>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0" w:type="auto"/>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上年结转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财政专户收入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
    <w:p>
      <w:pPr>
        <w:pStyle w:val="2"/>
      </w:pPr>
    </w:p>
    <w:p>
      <w:pPr>
        <w:pStyle w:val="2"/>
      </w:pPr>
    </w:p>
    <w:tbl>
      <w:tblPr>
        <w:tblStyle w:val="5"/>
        <w:tblW w:w="130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1446"/>
        <w:gridCol w:w="3516"/>
        <w:gridCol w:w="1285"/>
        <w:gridCol w:w="1252"/>
        <w:gridCol w:w="1252"/>
        <w:gridCol w:w="1151"/>
        <w:gridCol w:w="1151"/>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50" w:hRule="atLeast"/>
        </w:trPr>
        <w:tc>
          <w:tcPr>
            <w:tcW w:w="13028"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b/>
                <w:bCs/>
                <w:i w:val="0"/>
                <w:iCs w:val="0"/>
                <w:color w:val="000000"/>
                <w:sz w:val="43"/>
                <w:szCs w:val="43"/>
                <w:u w:val="none"/>
              </w:rPr>
            </w:pPr>
            <w:bookmarkStart w:id="2" w:name="_Toc26773"/>
            <w:r>
              <w:rPr>
                <w:rFonts w:hint="eastAsia" w:ascii="宋体" w:hAnsi="宋体" w:eastAsia="宋体" w:cs="宋体"/>
                <w:b/>
                <w:bCs/>
                <w:i w:val="0"/>
                <w:iCs w:val="0"/>
                <w:color w:val="000000"/>
                <w:kern w:val="0"/>
                <w:sz w:val="43"/>
                <w:szCs w:val="43"/>
                <w:u w:val="none"/>
                <w:lang w:val="en-US" w:eastAsia="zh-CN" w:bidi="ar"/>
              </w:rPr>
              <w:t>部门预算支出总表</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28"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预算单位编码及名称：[324]承德市双桥区土地收购储备中心</w:t>
            </w:r>
          </w:p>
        </w:tc>
        <w:tc>
          <w:tcPr>
            <w:tcW w:w="2700"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700"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经营支出</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上缴上级支出</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
    <w:p/>
    <w:p>
      <w:pPr>
        <w:pStyle w:val="2"/>
      </w:pPr>
    </w:p>
    <w:p>
      <w:pPr>
        <w:pStyle w:val="2"/>
      </w:pPr>
    </w:p>
    <w:p/>
    <w:p/>
    <w:tbl>
      <w:tblPr>
        <w:tblStyle w:val="5"/>
        <w:tblW w:w="144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3466"/>
        <w:gridCol w:w="1339"/>
        <w:gridCol w:w="3500"/>
        <w:gridCol w:w="1340"/>
        <w:gridCol w:w="1340"/>
        <w:gridCol w:w="1318"/>
        <w:gridCol w:w="13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444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b/>
                <w:bCs/>
                <w:i w:val="0"/>
                <w:iCs w:val="0"/>
                <w:color w:val="000000"/>
                <w:sz w:val="43"/>
                <w:szCs w:val="43"/>
                <w:u w:val="none"/>
              </w:rPr>
            </w:pPr>
            <w:bookmarkStart w:id="3" w:name="_Toc2021"/>
            <w:r>
              <w:rPr>
                <w:rFonts w:hint="eastAsia" w:ascii="宋体" w:hAnsi="宋体" w:eastAsia="宋体" w:cs="宋体"/>
                <w:b/>
                <w:bCs/>
                <w:i w:val="0"/>
                <w:iCs w:val="0"/>
                <w:color w:val="000000"/>
                <w:kern w:val="0"/>
                <w:sz w:val="43"/>
                <w:szCs w:val="43"/>
                <w:u w:val="none"/>
                <w:lang w:val="en-US" w:eastAsia="zh-CN" w:bidi="ar"/>
              </w:rPr>
              <w:t>部门预算财政拨款收支总表</w:t>
            </w:r>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04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预算单位编码及名称：[324]承德市双桥区土地收购储备中心</w:t>
            </w:r>
          </w:p>
        </w:tc>
        <w:tc>
          <w:tcPr>
            <w:tcW w:w="2700"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700"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w:t>
            </w:r>
          </w:p>
        </w:tc>
        <w:tc>
          <w:tcPr>
            <w:tcW w:w="89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政府性基金预算财政拨款</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
    <w:p/>
    <w:p/>
    <w:p/>
    <w:p/>
    <w:p>
      <w:pPr>
        <w:pStyle w:val="2"/>
      </w:pPr>
    </w:p>
    <w:p>
      <w:pPr>
        <w:pStyle w:val="2"/>
      </w:pPr>
    </w:p>
    <w:p>
      <w:pPr>
        <w:pStyle w:val="2"/>
      </w:pPr>
    </w:p>
    <w:p>
      <w:pPr>
        <w:pStyle w:val="2"/>
      </w:pPr>
    </w:p>
    <w:p>
      <w:pPr>
        <w:pStyle w:val="2"/>
      </w:pPr>
    </w:p>
    <w:p>
      <w:pPr>
        <w:pStyle w:val="2"/>
      </w:pPr>
    </w:p>
    <w:tbl>
      <w:tblPr>
        <w:tblStyle w:val="5"/>
        <w:tblW w:w="1248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1438"/>
        <w:gridCol w:w="3516"/>
        <w:gridCol w:w="1764"/>
        <w:gridCol w:w="1086"/>
        <w:gridCol w:w="1086"/>
        <w:gridCol w:w="1046"/>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2488"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b/>
                <w:bCs/>
                <w:i w:val="0"/>
                <w:iCs w:val="0"/>
                <w:color w:val="000000"/>
                <w:sz w:val="43"/>
                <w:szCs w:val="43"/>
                <w:u w:val="none"/>
              </w:rPr>
            </w:pPr>
            <w:bookmarkStart w:id="4" w:name="_Toc9629"/>
            <w:r>
              <w:rPr>
                <w:rFonts w:hint="eastAsia" w:ascii="宋体" w:hAnsi="宋体" w:eastAsia="宋体" w:cs="宋体"/>
                <w:b/>
                <w:bCs/>
                <w:i w:val="0"/>
                <w:iCs w:val="0"/>
                <w:color w:val="000000"/>
                <w:kern w:val="0"/>
                <w:sz w:val="43"/>
                <w:szCs w:val="43"/>
                <w:u w:val="none"/>
                <w:lang w:val="en-US" w:eastAsia="zh-CN" w:bidi="ar"/>
              </w:rPr>
              <w:t>部门预算一般公共预算财政拨款支出表</w:t>
            </w:r>
            <w:bookmarkEnd w:id="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168"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预算单位编码及名称：[324]承德市双桥区土地收购储备中心</w:t>
            </w:r>
          </w:p>
        </w:tc>
        <w:tc>
          <w:tcPr>
            <w:tcW w:w="2160" w:type="dxa"/>
            <w:gridSpan w:val="2"/>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16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行政单位离退休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自然资源事务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2200102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26.33</w:t>
            </w:r>
          </w:p>
        </w:tc>
      </w:tr>
    </w:tbl>
    <w:p/>
    <w:p/>
    <w:p/>
    <w:p>
      <w:pPr>
        <w:pStyle w:val="2"/>
      </w:pPr>
    </w:p>
    <w:p>
      <w:pPr>
        <w:pStyle w:val="2"/>
      </w:pPr>
    </w:p>
    <w:p>
      <w:pPr>
        <w:pStyle w:val="2"/>
      </w:pPr>
    </w:p>
    <w:p/>
    <w:tbl>
      <w:tblPr>
        <w:tblStyle w:val="5"/>
        <w:tblW w:w="130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1501"/>
        <w:gridCol w:w="3156"/>
        <w:gridCol w:w="2519"/>
        <w:gridCol w:w="2519"/>
        <w:gridCol w:w="2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3028"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b/>
                <w:bCs/>
                <w:i w:val="0"/>
                <w:iCs w:val="0"/>
                <w:color w:val="000000"/>
                <w:sz w:val="43"/>
                <w:szCs w:val="43"/>
                <w:u w:val="none"/>
              </w:rPr>
            </w:pPr>
            <w:bookmarkStart w:id="5" w:name="_Toc30443"/>
            <w:r>
              <w:rPr>
                <w:rFonts w:hint="eastAsia" w:ascii="宋体" w:hAnsi="宋体" w:eastAsia="宋体" w:cs="宋体"/>
                <w:b/>
                <w:bCs/>
                <w:i w:val="0"/>
                <w:iCs w:val="0"/>
                <w:color w:val="000000"/>
                <w:kern w:val="0"/>
                <w:sz w:val="43"/>
                <w:szCs w:val="43"/>
                <w:u w:val="none"/>
                <w:lang w:val="en-US" w:eastAsia="zh-CN" w:bidi="ar"/>
              </w:rPr>
              <w:t>部门预算一般公共预算财政拨款基本支出表</w:t>
            </w: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28"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预算单位编码及名称：[324]承德市双桥区土地收购储备中心</w:t>
            </w:r>
          </w:p>
        </w:tc>
        <w:tc>
          <w:tcPr>
            <w:tcW w:w="270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70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支出部门经济分类科目</w:t>
            </w:r>
          </w:p>
        </w:tc>
        <w:tc>
          <w:tcPr>
            <w:tcW w:w="8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印刷费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奖励金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tbl>
      <w:tblPr>
        <w:tblStyle w:val="5"/>
        <w:tblW w:w="130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1540"/>
        <w:gridCol w:w="2666"/>
        <w:gridCol w:w="2666"/>
        <w:gridCol w:w="2666"/>
        <w:gridCol w:w="2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3028"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b/>
                <w:bCs/>
                <w:i w:val="0"/>
                <w:iCs w:val="0"/>
                <w:color w:val="000000"/>
                <w:sz w:val="43"/>
                <w:szCs w:val="43"/>
                <w:u w:val="none"/>
              </w:rPr>
            </w:pPr>
            <w:bookmarkStart w:id="6" w:name="_Toc27470"/>
            <w:r>
              <w:rPr>
                <w:rFonts w:hint="eastAsia" w:ascii="宋体" w:hAnsi="宋体" w:eastAsia="宋体" w:cs="宋体"/>
                <w:b/>
                <w:bCs/>
                <w:i w:val="0"/>
                <w:iCs w:val="0"/>
                <w:color w:val="000000"/>
                <w:kern w:val="0"/>
                <w:sz w:val="43"/>
                <w:szCs w:val="43"/>
                <w:u w:val="none"/>
                <w:lang w:val="en-US" w:eastAsia="zh-CN" w:bidi="ar"/>
              </w:rPr>
              <w:t>部门预算政府基金预算财政拨款支出表</w:t>
            </w:r>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28"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预算单位编码及名称：[324]承德市双桥区土地收购储备中心</w:t>
            </w:r>
          </w:p>
        </w:tc>
        <w:tc>
          <w:tcPr>
            <w:tcW w:w="270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70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0" w:type="auto"/>
            <w:gridSpan w:val="6"/>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注：无政府基金预算，空表列示。</w:t>
            </w:r>
          </w:p>
        </w:tc>
      </w:tr>
    </w:tbl>
    <w:p/>
    <w:p/>
    <w:p/>
    <w:p/>
    <w:p/>
    <w:p/>
    <w:p/>
    <w:p/>
    <w:p/>
    <w:p/>
    <w:p/>
    <w:p/>
    <w:p/>
    <w:p/>
    <w:p/>
    <w:p/>
    <w:p/>
    <w:tbl>
      <w:tblPr>
        <w:tblStyle w:val="5"/>
        <w:tblW w:w="1302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1540"/>
        <w:gridCol w:w="2666"/>
        <w:gridCol w:w="2666"/>
        <w:gridCol w:w="2666"/>
        <w:gridCol w:w="2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3028"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b/>
                <w:bCs/>
                <w:i w:val="0"/>
                <w:iCs w:val="0"/>
                <w:color w:val="000000"/>
                <w:sz w:val="43"/>
                <w:szCs w:val="43"/>
                <w:u w:val="none"/>
              </w:rPr>
            </w:pPr>
            <w:bookmarkStart w:id="7" w:name="_Toc24110"/>
            <w:r>
              <w:rPr>
                <w:rFonts w:hint="eastAsia" w:ascii="宋体" w:hAnsi="宋体" w:eastAsia="宋体" w:cs="宋体"/>
                <w:b/>
                <w:bCs/>
                <w:i w:val="0"/>
                <w:iCs w:val="0"/>
                <w:color w:val="000000"/>
                <w:kern w:val="0"/>
                <w:sz w:val="43"/>
                <w:szCs w:val="43"/>
                <w:u w:val="none"/>
                <w:lang w:val="en-US" w:eastAsia="zh-CN" w:bidi="ar"/>
              </w:rPr>
              <w:t>部门预算国有资本经营预算财政拨款支出表</w:t>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628"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预算单位编码及名称：[324]承德市双桥区土地收购储备中心</w:t>
            </w:r>
          </w:p>
        </w:tc>
        <w:tc>
          <w:tcPr>
            <w:tcW w:w="270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70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425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支出功能分类科目</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科目编码</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15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gridSpan w:val="6"/>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注：无国有资本经营预算，空表列示。</w:t>
            </w:r>
          </w:p>
        </w:tc>
      </w:tr>
    </w:tbl>
    <w:p/>
    <w:p/>
    <w:p/>
    <w:p/>
    <w:p/>
    <w:p/>
    <w:p/>
    <w:p/>
    <w:p/>
    <w:p/>
    <w:p/>
    <w:p/>
    <w:p/>
    <w:p/>
    <w:p>
      <w:pPr>
        <w:pStyle w:val="2"/>
      </w:pPr>
    </w:p>
    <w:p>
      <w:pPr>
        <w:pStyle w:val="2"/>
      </w:pPr>
    </w:p>
    <w:p>
      <w:pPr>
        <w:pStyle w:val="2"/>
      </w:pPr>
    </w:p>
    <w:p>
      <w:pPr>
        <w:pStyle w:val="2"/>
      </w:pPr>
    </w:p>
    <w:p/>
    <w:tbl>
      <w:tblPr>
        <w:tblStyle w:val="5"/>
        <w:tblW w:w="1281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3499"/>
        <w:gridCol w:w="2128"/>
        <w:gridCol w:w="2128"/>
        <w:gridCol w:w="2123"/>
        <w:gridCol w:w="2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2825" w:type="dxa"/>
            <w:gridSpan w:val="6"/>
            <w:tcBorders>
              <w:top w:val="nil"/>
              <w:left w:val="nil"/>
              <w:bottom w:val="nil"/>
              <w:right w:val="nil"/>
            </w:tcBorders>
            <w:shd w:val="clear" w:color="auto" w:fill="auto"/>
            <w:vAlign w:val="center"/>
          </w:tcPr>
          <w:p>
            <w:pPr>
              <w:keepNext w:val="0"/>
              <w:keepLines w:val="0"/>
              <w:widowControl/>
              <w:suppressLineNumbers w:val="0"/>
              <w:jc w:val="center"/>
              <w:textAlignment w:val="center"/>
              <w:outlineLvl w:val="0"/>
              <w:rPr>
                <w:rFonts w:hint="eastAsia" w:ascii="宋体" w:hAnsi="宋体" w:eastAsia="宋体" w:cs="宋体"/>
                <w:b/>
                <w:bCs/>
                <w:i w:val="0"/>
                <w:iCs w:val="0"/>
                <w:color w:val="000000"/>
                <w:sz w:val="43"/>
                <w:szCs w:val="43"/>
                <w:u w:val="none"/>
              </w:rPr>
            </w:pPr>
            <w:bookmarkStart w:id="8" w:name="_Toc15014"/>
            <w:r>
              <w:rPr>
                <w:rFonts w:hint="eastAsia" w:ascii="宋体" w:hAnsi="宋体" w:eastAsia="宋体" w:cs="宋体"/>
                <w:b/>
                <w:bCs/>
                <w:i w:val="0"/>
                <w:iCs w:val="0"/>
                <w:color w:val="000000"/>
                <w:kern w:val="0"/>
                <w:sz w:val="43"/>
                <w:szCs w:val="43"/>
                <w:u w:val="none"/>
                <w:lang w:val="en-US" w:eastAsia="zh-CN" w:bidi="ar"/>
              </w:rPr>
              <w:t>部门预算财政拨款“三公”经费支出表</w:t>
            </w:r>
            <w:bookmarkEnd w:id="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505"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预算单位编码及名称：[324]承德市双桥区土地收购储备中心</w:t>
            </w:r>
          </w:p>
        </w:tc>
        <w:tc>
          <w:tcPr>
            <w:tcW w:w="216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预算年度：2021</w:t>
            </w:r>
          </w:p>
        </w:tc>
        <w:tc>
          <w:tcPr>
            <w:tcW w:w="2160" w:type="dxa"/>
            <w:tcBorders>
              <w:top w:val="nil"/>
              <w:left w:val="nil"/>
              <w:bottom w:val="nil"/>
              <w:right w:val="nil"/>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5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w:t>
            </w:r>
          </w:p>
        </w:tc>
        <w:tc>
          <w:tcPr>
            <w:tcW w:w="86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一般公共预算财政拨款</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政府性基金财政拨款</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3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一、因公出国（境）费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二、公务用车购置及运维费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其中：公务用车购置费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公务用车运行维护费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三、公务接待费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
    <w:p/>
    <w:p/>
    <w:p/>
    <w:p/>
    <w:p/>
    <w:p/>
    <w:p/>
    <w:p/>
    <w:p/>
    <w:p/>
    <w:p/>
    <w:p>
      <w:pPr>
        <w:spacing w:beforeLines="0" w:afterLines="0" w:line="580" w:lineRule="exact"/>
        <w:jc w:val="center"/>
        <w:rPr>
          <w:rFonts w:hint="eastAsia" w:ascii="华文中宋" w:hAnsi="华文中宋" w:eastAsia="华文中宋" w:cs="华文中宋"/>
          <w:sz w:val="44"/>
          <w:szCs w:val="44"/>
        </w:rPr>
      </w:pPr>
    </w:p>
    <w:p>
      <w:pPr>
        <w:spacing w:beforeLines="0" w:afterLines="0" w:line="580" w:lineRule="exact"/>
        <w:jc w:val="center"/>
        <w:outlineLvl w:val="0"/>
        <w:rPr>
          <w:rFonts w:hint="default" w:ascii="Times New Roman" w:hAnsi="Times New Roman" w:eastAsia="方正小标宋_GBK" w:cs="Times New Roman"/>
          <w:sz w:val="44"/>
          <w:szCs w:val="44"/>
        </w:rPr>
      </w:pPr>
      <w:bookmarkStart w:id="9" w:name="_Toc22114"/>
      <w:r>
        <w:rPr>
          <w:rFonts w:hint="eastAsia" w:ascii="华文中宋" w:hAnsi="华文中宋" w:eastAsia="华文中宋" w:cs="华文中宋"/>
          <w:sz w:val="44"/>
          <w:szCs w:val="44"/>
        </w:rPr>
        <w:t>双桥区土地收购储备中心202</w:t>
      </w:r>
      <w:r>
        <w:rPr>
          <w:rFonts w:hint="eastAsia" w:ascii="华文中宋" w:hAnsi="华文中宋" w:eastAsia="华文中宋" w:cs="华文中宋"/>
          <w:sz w:val="44"/>
          <w:szCs w:val="44"/>
          <w:lang w:val="en-US" w:eastAsia="zh-CN"/>
        </w:rPr>
        <w:t>2</w:t>
      </w:r>
      <w:r>
        <w:rPr>
          <w:rFonts w:hint="eastAsia" w:ascii="华文中宋" w:hAnsi="华文中宋" w:eastAsia="华文中宋" w:cs="华文中宋"/>
          <w:sz w:val="44"/>
          <w:szCs w:val="44"/>
        </w:rPr>
        <w:t>年部门预算信息公开情况说明</w:t>
      </w:r>
      <w:bookmarkEnd w:id="9"/>
    </w:p>
    <w:p>
      <w:pPr>
        <w:spacing w:beforeLines="0" w:afterLines="0" w:line="580" w:lineRule="exact"/>
        <w:ind w:firstLine="640" w:firstLineChars="200"/>
        <w:rPr>
          <w:rFonts w:hint="eastAsia" w:ascii="仿宋_GB2312" w:hAnsi="Times New Roman" w:eastAsia="仿宋_GB2312" w:cs="方正仿宋_GBK"/>
          <w:sz w:val="32"/>
          <w:szCs w:val="32"/>
        </w:rPr>
      </w:pPr>
      <w:r>
        <w:rPr>
          <w:rFonts w:hint="eastAsia" w:ascii="仿宋_GB2312" w:hAnsi="Times New Roman" w:eastAsia="仿宋_GB2312" w:cs="方正仿宋_GBK"/>
          <w:sz w:val="32"/>
          <w:szCs w:val="32"/>
        </w:rPr>
        <w:t>按照《中华人民共和国预算法》、《地方预决算公开操作规程》和《河北省预决算公开操作规程实施细则》要求，现将</w:t>
      </w:r>
      <w:r>
        <w:rPr>
          <w:rFonts w:hint="eastAsia" w:ascii="仿宋_GB2312" w:hAnsi="Times New Roman" w:eastAsia="仿宋_GB2312"/>
          <w:sz w:val="32"/>
          <w:szCs w:val="32"/>
        </w:rPr>
        <w:t>202</w:t>
      </w:r>
      <w:r>
        <w:rPr>
          <w:rFonts w:hint="eastAsia" w:ascii="仿宋_GB2312" w:eastAsia="仿宋_GB2312"/>
          <w:sz w:val="32"/>
          <w:szCs w:val="32"/>
          <w:lang w:val="en-US" w:eastAsia="zh-CN"/>
        </w:rPr>
        <w:t>1</w:t>
      </w:r>
      <w:r>
        <w:rPr>
          <w:rFonts w:hint="eastAsia" w:ascii="仿宋_GB2312" w:hAnsi="Times New Roman" w:eastAsia="仿宋_GB2312" w:cs="方正仿宋_GBK"/>
          <w:sz w:val="32"/>
          <w:szCs w:val="32"/>
        </w:rPr>
        <w:t>年承德市双桥区土地收购储备中心202</w:t>
      </w:r>
      <w:r>
        <w:rPr>
          <w:rFonts w:hint="eastAsia" w:ascii="仿宋_GB2312" w:eastAsia="仿宋_GB2312" w:cs="方正仿宋_GBK"/>
          <w:sz w:val="32"/>
          <w:szCs w:val="32"/>
          <w:lang w:val="en-US" w:eastAsia="zh-CN"/>
        </w:rPr>
        <w:t>1</w:t>
      </w:r>
      <w:r>
        <w:rPr>
          <w:rFonts w:hint="eastAsia" w:ascii="仿宋_GB2312" w:hAnsi="Times New Roman" w:eastAsia="仿宋_GB2312" w:cs="方正仿宋_GBK"/>
          <w:sz w:val="32"/>
          <w:szCs w:val="32"/>
        </w:rPr>
        <w:t>年部门预算信息公开如下：</w:t>
      </w:r>
    </w:p>
    <w:p>
      <w:pPr>
        <w:numPr>
          <w:ilvl w:val="0"/>
          <w:numId w:val="1"/>
        </w:numPr>
        <w:spacing w:line="580" w:lineRule="exact"/>
        <w:ind w:firstLine="640"/>
        <w:outlineLvl w:val="0"/>
        <w:rPr>
          <w:rFonts w:hint="eastAsia" w:ascii="黑体" w:eastAsia="黑体"/>
          <w:snapToGrid w:val="0"/>
          <w:kern w:val="0"/>
          <w:sz w:val="32"/>
          <w:szCs w:val="32"/>
        </w:rPr>
      </w:pPr>
      <w:bookmarkStart w:id="10" w:name="_Toc15988"/>
      <w:r>
        <w:rPr>
          <w:rFonts w:hint="eastAsia" w:ascii="黑体" w:hAnsi="黑体" w:eastAsia="黑体"/>
          <w:bCs/>
          <w:sz w:val="32"/>
          <w:szCs w:val="32"/>
        </w:rPr>
        <w:t>部门职责及机构设置情况</w:t>
      </w:r>
      <w:bookmarkEnd w:id="10"/>
    </w:p>
    <w:p>
      <w:pPr>
        <w:adjustRightInd w:val="0"/>
        <w:snapToGrid w:val="0"/>
        <w:spacing w:line="580" w:lineRule="exact"/>
        <w:ind w:firstLine="640" w:firstLineChars="200"/>
        <w:rPr>
          <w:rFonts w:ascii="黑体" w:hAnsi="黑体" w:eastAsia="黑体"/>
          <w:snapToGrid w:val="0"/>
          <w:kern w:val="0"/>
          <w:sz w:val="32"/>
          <w:szCs w:val="32"/>
        </w:rPr>
      </w:pPr>
      <w:r>
        <w:rPr>
          <w:rFonts w:hint="eastAsia" w:ascii="黑体" w:hAnsi="黑体" w:eastAsia="黑体"/>
          <w:snapToGrid w:val="0"/>
          <w:kern w:val="0"/>
          <w:sz w:val="32"/>
          <w:szCs w:val="32"/>
        </w:rPr>
        <w:t>部门职责:</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根据《承德市双桥区土地收购储备中心职能配置、内设机构和人员编制规定》，承德市双桥区土地收购储备中心的主要职责是：</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eastAsia="仿宋_GB2312"/>
          <w:sz w:val="32"/>
          <w:szCs w:val="32"/>
        </w:rPr>
        <w:t>根据承市机编[2009]1号文件精神，负责贯彻执行国家有关土地管理法律法规，依据国土资源部《土地储备管理办法》和《土地储备资金财务管理办法》，在全市土地储备规划和年度计划下，实施集体土地收购储备工作；依法核定土地收储、开发成本、会同镇、村做好被征收土地补偿工作。区土地收购储备中心完成储备土地后，纳入市土地供应计划，由市土地储备交易中心统一进行招、拍、挂出让。</w:t>
      </w:r>
    </w:p>
    <w:p>
      <w:pPr>
        <w:spacing w:line="560" w:lineRule="exact"/>
        <w:ind w:firstLine="640" w:firstLineChars="200"/>
        <w:outlineLvl w:val="9"/>
        <w:rPr>
          <w:rFonts w:hint="eastAsia" w:ascii="黑体" w:hAnsi="黑体" w:eastAsia="黑体"/>
          <w:snapToGrid w:val="0"/>
          <w:kern w:val="0"/>
          <w:sz w:val="32"/>
          <w:szCs w:val="32"/>
        </w:rPr>
      </w:pPr>
      <w:r>
        <w:rPr>
          <w:rFonts w:hint="eastAsia" w:ascii="黑体" w:hAnsi="黑体" w:eastAsia="黑体"/>
          <w:snapToGrid w:val="0"/>
          <w:kern w:val="0"/>
          <w:sz w:val="32"/>
          <w:szCs w:val="32"/>
        </w:rPr>
        <w:t>机构设置:</w:t>
      </w:r>
    </w:p>
    <w:p>
      <w:pPr>
        <w:spacing w:line="560" w:lineRule="exact"/>
        <w:jc w:val="center"/>
        <w:outlineLvl w:val="0"/>
        <w:rPr>
          <w:rFonts w:hint="eastAsia" w:ascii="华文中宋" w:hAnsi="华文中宋" w:eastAsia="华文中宋" w:cs="华文中宋"/>
          <w:sz w:val="32"/>
          <w:szCs w:val="24"/>
        </w:rPr>
      </w:pPr>
    </w:p>
    <w:p>
      <w:pPr>
        <w:spacing w:line="560" w:lineRule="exact"/>
        <w:jc w:val="center"/>
        <w:outlineLvl w:val="0"/>
        <w:rPr>
          <w:rFonts w:hint="eastAsia" w:ascii="华文中宋" w:hAnsi="华文中宋" w:eastAsia="华文中宋" w:cs="华文中宋"/>
          <w:sz w:val="32"/>
          <w:szCs w:val="24"/>
        </w:rPr>
      </w:pPr>
    </w:p>
    <w:p>
      <w:pPr>
        <w:spacing w:line="560" w:lineRule="exact"/>
        <w:jc w:val="center"/>
        <w:outlineLvl w:val="9"/>
        <w:rPr>
          <w:rFonts w:hint="eastAsia" w:ascii="Times New Roman" w:hAnsi="Times New Roman" w:eastAsia="方正小标宋_GBK" w:cs="Times New Roman"/>
          <w:sz w:val="32"/>
          <w:szCs w:val="24"/>
        </w:rPr>
      </w:pPr>
      <w:r>
        <w:rPr>
          <w:rFonts w:hint="eastAsia" w:ascii="华文中宋" w:hAnsi="华文中宋" w:eastAsia="华文中宋" w:cs="华文中宋"/>
          <w:sz w:val="32"/>
          <w:szCs w:val="24"/>
        </w:rPr>
        <w:t>部门机构设置情况</w:t>
      </w:r>
    </w:p>
    <w:tbl>
      <w:tblPr>
        <w:tblStyle w:val="5"/>
        <w:tblW w:w="9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59"/>
        <w:gridCol w:w="1792"/>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59" w:type="dxa"/>
            <w:vMerge w:val="restart"/>
            <w:noWrap w:val="0"/>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792" w:type="dxa"/>
            <w:vMerge w:val="restart"/>
            <w:noWrap w:val="0"/>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noWrap w:val="0"/>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noWrap w:val="0"/>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59" w:type="dxa"/>
            <w:vMerge w:val="continue"/>
            <w:noWrap w:val="0"/>
            <w:vAlign w:val="center"/>
          </w:tcPr>
          <w:p>
            <w:pPr>
              <w:spacing w:line="300" w:lineRule="exact"/>
              <w:jc w:val="left"/>
              <w:outlineLvl w:val="0"/>
              <w:rPr>
                <w:rFonts w:ascii="Times New Roman" w:hAnsi="Times New Roman" w:cs="Times New Roman"/>
                <w:szCs w:val="24"/>
              </w:rPr>
            </w:pPr>
          </w:p>
        </w:tc>
        <w:tc>
          <w:tcPr>
            <w:tcW w:w="1792" w:type="dxa"/>
            <w:vMerge w:val="continue"/>
            <w:noWrap w:val="0"/>
            <w:vAlign w:val="center"/>
          </w:tcPr>
          <w:p>
            <w:pPr>
              <w:spacing w:line="300" w:lineRule="exact"/>
              <w:jc w:val="left"/>
              <w:outlineLvl w:val="0"/>
              <w:rPr>
                <w:rFonts w:ascii="Times New Roman" w:hAnsi="Times New Roman" w:cs="Times New Roman"/>
                <w:szCs w:val="24"/>
              </w:rPr>
            </w:pPr>
          </w:p>
        </w:tc>
        <w:tc>
          <w:tcPr>
            <w:tcW w:w="1276" w:type="dxa"/>
            <w:vMerge w:val="continue"/>
            <w:noWrap w:val="0"/>
            <w:vAlign w:val="center"/>
          </w:tcPr>
          <w:p>
            <w:pPr>
              <w:spacing w:line="300" w:lineRule="exact"/>
              <w:jc w:val="left"/>
              <w:outlineLvl w:val="0"/>
              <w:rPr>
                <w:rFonts w:ascii="Times New Roman" w:hAnsi="Times New Roman" w:cs="Times New Roman"/>
                <w:szCs w:val="24"/>
              </w:rPr>
            </w:pPr>
          </w:p>
        </w:tc>
        <w:tc>
          <w:tcPr>
            <w:tcW w:w="2902" w:type="dxa"/>
            <w:vMerge w:val="continue"/>
            <w:noWrap w:val="0"/>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59" w:type="dxa"/>
            <w:noWrap w:val="0"/>
            <w:vAlign w:val="center"/>
          </w:tcPr>
          <w:p>
            <w:pPr>
              <w:spacing w:line="300" w:lineRule="exact"/>
              <w:jc w:val="left"/>
              <w:rPr>
                <w:rFonts w:hint="eastAsia" w:ascii="仿宋_GB2312" w:eastAsia="仿宋_GB2312"/>
                <w:sz w:val="24"/>
              </w:rPr>
            </w:pPr>
            <w:r>
              <w:rPr>
                <w:rFonts w:hint="eastAsia" w:ascii="仿宋_GB2312" w:eastAsia="仿宋_GB2312"/>
                <w:sz w:val="24"/>
              </w:rPr>
              <w:t>办公室</w:t>
            </w:r>
          </w:p>
        </w:tc>
        <w:tc>
          <w:tcPr>
            <w:tcW w:w="1792"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全额事业</w:t>
            </w:r>
          </w:p>
        </w:tc>
        <w:tc>
          <w:tcPr>
            <w:tcW w:w="127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股级</w:t>
            </w:r>
          </w:p>
        </w:tc>
        <w:tc>
          <w:tcPr>
            <w:tcW w:w="2902"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全额拨款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59" w:type="dxa"/>
            <w:noWrap w:val="0"/>
            <w:vAlign w:val="center"/>
          </w:tcPr>
          <w:p>
            <w:pPr>
              <w:spacing w:line="300" w:lineRule="exact"/>
              <w:jc w:val="left"/>
              <w:rPr>
                <w:rFonts w:hint="eastAsia" w:ascii="仿宋_GB2312" w:eastAsia="仿宋_GB2312"/>
                <w:sz w:val="24"/>
              </w:rPr>
            </w:pPr>
            <w:r>
              <w:rPr>
                <w:rFonts w:hint="eastAsia" w:ascii="仿宋_GB2312" w:eastAsia="仿宋_GB2312"/>
                <w:sz w:val="24"/>
              </w:rPr>
              <w:t>土地收储股</w:t>
            </w:r>
          </w:p>
        </w:tc>
        <w:tc>
          <w:tcPr>
            <w:tcW w:w="1792"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全额事业</w:t>
            </w:r>
          </w:p>
        </w:tc>
        <w:tc>
          <w:tcPr>
            <w:tcW w:w="127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股级</w:t>
            </w:r>
          </w:p>
        </w:tc>
        <w:tc>
          <w:tcPr>
            <w:tcW w:w="2902"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全额拨款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59" w:type="dxa"/>
            <w:noWrap w:val="0"/>
            <w:vAlign w:val="center"/>
          </w:tcPr>
          <w:p>
            <w:pPr>
              <w:spacing w:line="300" w:lineRule="exact"/>
              <w:jc w:val="left"/>
              <w:rPr>
                <w:rFonts w:hint="eastAsia" w:ascii="仿宋_GB2312" w:eastAsia="仿宋_GB2312"/>
                <w:sz w:val="24"/>
              </w:rPr>
            </w:pPr>
            <w:r>
              <w:rPr>
                <w:rFonts w:hint="eastAsia" w:ascii="仿宋_GB2312" w:eastAsia="仿宋_GB2312"/>
                <w:sz w:val="24"/>
              </w:rPr>
              <w:t>评估业务管理股</w:t>
            </w:r>
          </w:p>
        </w:tc>
        <w:tc>
          <w:tcPr>
            <w:tcW w:w="1792"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全额事业</w:t>
            </w:r>
          </w:p>
        </w:tc>
        <w:tc>
          <w:tcPr>
            <w:tcW w:w="127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股级</w:t>
            </w:r>
          </w:p>
        </w:tc>
        <w:tc>
          <w:tcPr>
            <w:tcW w:w="2902"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全额拨款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59" w:type="dxa"/>
            <w:noWrap w:val="0"/>
            <w:vAlign w:val="center"/>
          </w:tcPr>
          <w:p>
            <w:pPr>
              <w:spacing w:line="300" w:lineRule="exact"/>
              <w:jc w:val="left"/>
              <w:rPr>
                <w:rFonts w:hint="eastAsia" w:ascii="仿宋_GB2312" w:eastAsia="仿宋_GB2312"/>
                <w:sz w:val="24"/>
              </w:rPr>
            </w:pPr>
            <w:r>
              <w:rPr>
                <w:rFonts w:hint="eastAsia" w:ascii="仿宋_GB2312" w:eastAsia="仿宋_GB2312"/>
                <w:sz w:val="24"/>
              </w:rPr>
              <w:t>财务股</w:t>
            </w:r>
          </w:p>
        </w:tc>
        <w:tc>
          <w:tcPr>
            <w:tcW w:w="1792"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全额事业</w:t>
            </w:r>
          </w:p>
        </w:tc>
        <w:tc>
          <w:tcPr>
            <w:tcW w:w="127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股级</w:t>
            </w:r>
          </w:p>
        </w:tc>
        <w:tc>
          <w:tcPr>
            <w:tcW w:w="2902"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全额拨款</w:t>
            </w:r>
          </w:p>
        </w:tc>
      </w:tr>
    </w:tbl>
    <w:p>
      <w:pPr>
        <w:spacing w:line="580" w:lineRule="exact"/>
        <w:ind w:firstLine="640"/>
        <w:outlineLvl w:val="0"/>
        <w:rPr>
          <w:rFonts w:hint="eastAsia" w:ascii="黑体" w:hAnsi="黑体" w:eastAsia="黑体"/>
          <w:bCs/>
          <w:sz w:val="32"/>
          <w:szCs w:val="32"/>
        </w:rPr>
      </w:pPr>
      <w:bookmarkStart w:id="11" w:name="_Toc10335"/>
      <w:r>
        <w:rPr>
          <w:rFonts w:hint="eastAsia" w:ascii="黑体" w:hAnsi="黑体" w:eastAsia="黑体"/>
          <w:bCs/>
          <w:sz w:val="32"/>
          <w:szCs w:val="32"/>
        </w:rPr>
        <w:t>二、部门预算安排的总体情况</w:t>
      </w:r>
      <w:bookmarkEnd w:id="11"/>
    </w:p>
    <w:p>
      <w:pPr>
        <w:spacing w:line="580" w:lineRule="exact"/>
        <w:ind w:firstLine="640" w:firstLineChars="200"/>
        <w:rPr>
          <w:rFonts w:hint="eastAsia" w:ascii="仿宋_GB2312" w:hAnsi="Times New Roman" w:eastAsia="仿宋_GB2312" w:cs="方正仿宋_GBK"/>
          <w:sz w:val="32"/>
          <w:szCs w:val="32"/>
        </w:rPr>
      </w:pPr>
      <w:r>
        <w:rPr>
          <w:rFonts w:hint="eastAsia" w:ascii="仿宋_GB2312" w:hAnsi="Times New Roman" w:eastAsia="仿宋_GB2312" w:cs="方正仿宋_GBK"/>
          <w:sz w:val="32"/>
          <w:szCs w:val="32"/>
        </w:rPr>
        <w:t>按照预算管理有关规定，目前我区部门预算的编制实行综合预算制度，即全部收入和支出都反映的预算中。双桥区土地收购储备中心收支全部包含在部门预算中。</w:t>
      </w:r>
    </w:p>
    <w:p>
      <w:pPr>
        <w:spacing w:line="580" w:lineRule="exact"/>
        <w:ind w:firstLine="643" w:firstLineChars="200"/>
        <w:rPr>
          <w:rFonts w:hint="eastAsia" w:ascii="仿宋_GB2312" w:hAnsi="Times New Roman" w:eastAsia="仿宋_GB2312"/>
          <w:b/>
          <w:bCs/>
          <w:sz w:val="32"/>
          <w:szCs w:val="32"/>
        </w:rPr>
      </w:pPr>
      <w:r>
        <w:rPr>
          <w:rFonts w:hint="eastAsia" w:ascii="仿宋_GB2312" w:hAnsi="Times New Roman" w:eastAsia="仿宋_GB2312"/>
          <w:b/>
          <w:bCs/>
          <w:sz w:val="32"/>
          <w:szCs w:val="32"/>
        </w:rPr>
        <w:t>1</w:t>
      </w:r>
      <w:r>
        <w:rPr>
          <w:rFonts w:hint="eastAsia" w:ascii="仿宋_GB2312" w:hAnsi="Times New Roman" w:eastAsia="仿宋_GB2312" w:cs="方正仿宋_GBK"/>
          <w:b/>
          <w:bCs/>
          <w:sz w:val="32"/>
          <w:szCs w:val="32"/>
        </w:rPr>
        <w:t>、收入说明</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反映本部门当年全部收入，2021年预算收入118.85万元，其中：一般公共预算收入118.85万元，基金预算收入0万元，财政专户核拨收入0万元，其他来源收入0万元。</w:t>
      </w:r>
    </w:p>
    <w:p>
      <w:pPr>
        <w:numPr>
          <w:ilvl w:val="0"/>
          <w:numId w:val="2"/>
        </w:numPr>
        <w:spacing w:line="580" w:lineRule="exact"/>
        <w:ind w:firstLine="640"/>
        <w:rPr>
          <w:rFonts w:hint="eastAsia" w:ascii="仿宋_GB2312" w:hAnsi="Times New Roman" w:eastAsia="仿宋_GB2312"/>
          <w:b/>
          <w:bCs/>
          <w:sz w:val="32"/>
          <w:szCs w:val="32"/>
        </w:rPr>
      </w:pPr>
      <w:r>
        <w:rPr>
          <w:rFonts w:hint="eastAsia" w:ascii="仿宋_GB2312" w:hAnsi="Times New Roman" w:eastAsia="仿宋_GB2312" w:cs="方正仿宋_GBK"/>
          <w:b/>
          <w:bCs/>
          <w:sz w:val="32"/>
          <w:szCs w:val="32"/>
        </w:rPr>
        <w:t>支出说明</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承德市双桥区土地收购储备中2021年度部门预算中支出预算的总体情况。2021年部门支出预算118.85万元，其中基本支出92.52万元，包括人员经费85.91万元和日常公用经费6.61万元；项目支出26.33万元，主要为评估费、测绘费及收储经费。</w:t>
      </w:r>
    </w:p>
    <w:p>
      <w:pPr>
        <w:numPr>
          <w:ilvl w:val="0"/>
          <w:numId w:val="2"/>
        </w:numPr>
        <w:spacing w:line="580" w:lineRule="exact"/>
        <w:ind w:firstLine="640"/>
        <w:rPr>
          <w:rFonts w:hint="eastAsia" w:ascii="仿宋_GB2312" w:hAnsi="Times New Roman" w:eastAsia="仿宋_GB2312"/>
          <w:b/>
          <w:bCs/>
          <w:sz w:val="32"/>
          <w:szCs w:val="32"/>
        </w:rPr>
      </w:pPr>
      <w:r>
        <w:rPr>
          <w:rFonts w:hint="eastAsia" w:ascii="仿宋_GB2312" w:hAnsi="Times New Roman" w:eastAsia="仿宋_GB2312" w:cs="方正仿宋_GBK"/>
          <w:b/>
          <w:bCs/>
          <w:sz w:val="32"/>
          <w:szCs w:val="32"/>
        </w:rPr>
        <w:t>比上年增减情况</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cs="仿宋_GB2312"/>
          <w:sz w:val="32"/>
          <w:szCs w:val="32"/>
        </w:rPr>
        <w:t>2021年预算收支安排118.85万元，较2020年预算减少43.18万元，其中：基本支出减少23.71万元，减少的主要原因为人员变动，人员经费及日常公用支出减少；项目支出减少19.47万元，减少的主要原因为前期工作已完成，且本年度相关项目减少，支出减少。</w:t>
      </w:r>
    </w:p>
    <w:p>
      <w:pPr>
        <w:numPr>
          <w:ilvl w:val="0"/>
          <w:numId w:val="3"/>
        </w:numPr>
        <w:autoSpaceDE w:val="0"/>
        <w:autoSpaceDN w:val="0"/>
        <w:adjustRightInd w:val="0"/>
        <w:spacing w:line="580" w:lineRule="exact"/>
        <w:ind w:firstLine="640" w:firstLineChars="200"/>
        <w:jc w:val="left"/>
        <w:outlineLvl w:val="0"/>
        <w:rPr>
          <w:rFonts w:hint="eastAsia" w:ascii="黑体" w:hAnsi="黑体" w:eastAsia="黑体"/>
          <w:bCs/>
          <w:sz w:val="32"/>
          <w:szCs w:val="32"/>
        </w:rPr>
      </w:pPr>
      <w:bookmarkStart w:id="12" w:name="_Toc18532"/>
      <w:r>
        <w:rPr>
          <w:rFonts w:hint="eastAsia" w:ascii="黑体" w:hAnsi="黑体" w:eastAsia="黑体"/>
          <w:bCs/>
          <w:sz w:val="32"/>
          <w:szCs w:val="32"/>
        </w:rPr>
        <w:t>机关运行经费安排情况</w:t>
      </w:r>
      <w:bookmarkEnd w:id="12"/>
    </w:p>
    <w:p>
      <w:pPr>
        <w:autoSpaceDE w:val="0"/>
        <w:autoSpaceDN w:val="0"/>
        <w:adjustRightInd w:val="0"/>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2021年，我部门日常运行经费共计安排6.61万元，主要用于保证单位正常运转的办公费、印刷费、邮电费、差旅费、公务车运行维护费等支出。</w:t>
      </w:r>
    </w:p>
    <w:p>
      <w:pPr>
        <w:numPr>
          <w:ilvl w:val="0"/>
          <w:numId w:val="3"/>
        </w:numPr>
        <w:autoSpaceDE w:val="0"/>
        <w:autoSpaceDN w:val="0"/>
        <w:adjustRightInd w:val="0"/>
        <w:spacing w:line="580" w:lineRule="exact"/>
        <w:ind w:firstLine="640" w:firstLineChars="200"/>
        <w:jc w:val="left"/>
        <w:outlineLvl w:val="0"/>
        <w:rPr>
          <w:rFonts w:hint="eastAsia" w:ascii="黑体" w:hAnsi="黑体" w:eastAsia="黑体"/>
          <w:bCs/>
          <w:sz w:val="32"/>
          <w:szCs w:val="32"/>
        </w:rPr>
      </w:pPr>
      <w:bookmarkStart w:id="13" w:name="_Toc17012"/>
      <w:r>
        <w:rPr>
          <w:rFonts w:hint="eastAsia" w:ascii="黑体" w:hAnsi="黑体" w:eastAsia="黑体"/>
          <w:bCs/>
          <w:sz w:val="32"/>
          <w:szCs w:val="32"/>
        </w:rPr>
        <w:t>财政拨款“三公”经费预算情况及增减变化原因</w:t>
      </w:r>
      <w:bookmarkEnd w:id="13"/>
    </w:p>
    <w:p>
      <w:pPr>
        <w:autoSpaceDE w:val="0"/>
        <w:autoSpaceDN w:val="0"/>
        <w:adjustRightInd w:val="0"/>
        <w:spacing w:line="580" w:lineRule="exact"/>
        <w:ind w:firstLine="640" w:firstLineChars="200"/>
        <w:jc w:val="left"/>
      </w:pPr>
      <w:r>
        <w:rPr>
          <w:rFonts w:hint="eastAsia" w:ascii="仿宋_GB2312" w:hAnsi="仿宋_GB2312" w:eastAsia="仿宋_GB2312" w:cs="仿宋_GB2312"/>
          <w:sz w:val="32"/>
          <w:szCs w:val="32"/>
        </w:rPr>
        <w:t>2021年，我部门财政拨款“三公”经费预算安排1.5万元，其中因公出国（境）费信0万元；公务用车购置及运维费1.5万元（其中：公务用车购置费为0万元，公务用车运维费1.5万元）；公务接待费0万元。“三公”经费与上年比较</w:t>
      </w:r>
      <w:r>
        <w:rPr>
          <w:rFonts w:hint="eastAsia" w:ascii="仿宋_GB2312" w:eastAsia="仿宋_GB2312"/>
          <w:sz w:val="32"/>
          <w:szCs w:val="32"/>
        </w:rPr>
        <w:t>增加0万元，同比增加0%，</w:t>
      </w:r>
      <w:r>
        <w:rPr>
          <w:rFonts w:hint="eastAsia" w:ascii="仿宋_GB2312" w:hAnsi="仿宋_GB2312" w:eastAsia="仿宋_GB2312" w:cs="仿宋_GB2312"/>
          <w:sz w:val="32"/>
          <w:szCs w:val="32"/>
        </w:rPr>
        <w:t>其中:因公出国(境)费与上年比较持平,无增减变化;公务接待费与上年比较持平,无增减变化</w:t>
      </w:r>
      <w:r>
        <w:rPr>
          <w:rFonts w:hint="eastAsia" w:ascii="仿宋_GB2312" w:eastAsia="仿宋_GB2312"/>
          <w:sz w:val="32"/>
          <w:szCs w:val="32"/>
        </w:rPr>
        <w:t>；</w:t>
      </w:r>
      <w:r>
        <w:rPr>
          <w:rFonts w:hint="eastAsia" w:ascii="仿宋_GB2312" w:hAnsi="仿宋_GB2312" w:eastAsia="仿宋_GB2312" w:cs="仿宋_GB2312"/>
          <w:sz w:val="32"/>
          <w:szCs w:val="32"/>
        </w:rPr>
        <w:t>公务用车购置费与上年持平,无增减变化;公务用车运维费与上年比较持平,无增减变化。</w:t>
      </w:r>
    </w:p>
    <w:p>
      <w:pPr>
        <w:autoSpaceDE w:val="0"/>
        <w:autoSpaceDN w:val="0"/>
        <w:adjustRightInd w:val="0"/>
        <w:spacing w:line="580" w:lineRule="exact"/>
        <w:ind w:firstLine="640" w:firstLineChars="200"/>
        <w:jc w:val="left"/>
        <w:outlineLvl w:val="0"/>
        <w:rPr>
          <w:rFonts w:ascii="黑体" w:hAnsi="黑体" w:eastAsia="黑体" w:cs="Times New Roman"/>
          <w:sz w:val="32"/>
          <w:szCs w:val="32"/>
        </w:rPr>
      </w:pPr>
      <w:bookmarkStart w:id="14" w:name="_Toc11164"/>
      <w:r>
        <w:rPr>
          <w:rFonts w:hint="eastAsia" w:ascii="黑体" w:hAnsi="黑体" w:eastAsia="黑体" w:cs="Times New Roman"/>
          <w:sz w:val="32"/>
          <w:szCs w:val="32"/>
        </w:rPr>
        <w:t>五、预算绩效信息</w:t>
      </w:r>
      <w:bookmarkEnd w:id="14"/>
    </w:p>
    <w:p>
      <w:pPr>
        <w:ind w:firstLine="640" w:firstLineChars="200"/>
        <w:jc w:val="left"/>
        <w:rPr>
          <w:rFonts w:hint="eastAsia" w:ascii="黑体" w:hAnsi="黑体" w:eastAsia="黑体"/>
          <w:bCs/>
          <w:sz w:val="32"/>
          <w:szCs w:val="32"/>
        </w:rPr>
      </w:pPr>
      <w:bookmarkStart w:id="15" w:name="_Toc471398463"/>
      <w:r>
        <w:rPr>
          <w:rFonts w:hint="eastAsia" w:ascii="黑体" w:hAnsi="黑体" w:eastAsia="黑体"/>
          <w:bCs/>
          <w:sz w:val="32"/>
          <w:szCs w:val="32"/>
        </w:rPr>
        <w:t>第一部分  部门整体绩效目标</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1、总体绩效目标</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1）深入学习宣传贯彻党的十九大五中精神及习近平新时代中国特色社会主义思想，进一步教育引导广大党员干部牢固树立“四个意识”，坚定“四个自信”，践行“两个维护”不断推进党的建设伟大工程取得新进展、促进各项工作迈上新台阶。</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（2）继续做好疫情防控常态化各项工作。</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（3）按照区政府供地安排，高效完成区政府安排的近期拟供的四宗土地成本组卷工作。其中：下二道河子二道沟地块60亩、红石峦承朝高速东侧B1地块40亩、红石峦承朝高速东侧C地块60亩、石洞子沟北沟地块22亩。</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（4）做好对已供土地的成本返还工作。</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（5）继续加强储备土地的巡查和管护工作。</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（6）积极推进《双桥区集体土地征收与房屋拆迁补偿安置办法》的出台工作。</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（7）结合纠正“四风”专项整治工作要求，进一步加强机关工作作风。</w:t>
      </w:r>
    </w:p>
    <w:p>
      <w:pPr>
        <w:shd w:val="solid" w:color="FDFDFD" w:fill="auto"/>
        <w:autoSpaceDN w:val="0"/>
        <w:spacing w:line="580" w:lineRule="exact"/>
        <w:ind w:firstLine="640" w:firstLineChars="200"/>
        <w:jc w:val="left"/>
        <w:rPr>
          <w:rFonts w:hint="eastAsia" w:ascii="仿宋_GB2312" w:hAnsi="仿宋_GB2312" w:eastAsia="仿宋_GB2312" w:cs="仿宋_GB2312"/>
          <w:sz w:val="32"/>
          <w:szCs w:val="32"/>
        </w:rPr>
      </w:pPr>
      <w:r>
        <w:rPr>
          <w:rFonts w:hint="eastAsia" w:ascii="仿宋_GB2312" w:eastAsia="仿宋_GB2312"/>
          <w:sz w:val="32"/>
          <w:szCs w:val="32"/>
        </w:rPr>
        <w:t>（8）高效完成区委区政府交办的其他工作。</w:t>
      </w:r>
    </w:p>
    <w:p>
      <w:pPr>
        <w:spacing w:line="58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2、分项绩效目标</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1）双桥区范围内的土地收储工作。根据年度土地储备计划开展土地收购、储备工作。委托有资质中介机构对收购土地进行范围测绘,协调有关部门对收购土地、储备土地进行地籍等相关调查工作；组织开展储备土地必要的前期开发；对纳入储备的土地进行管护</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绩效目标：按时完成相关工作，为国土资源部门调控土地市场、促进土地资源合理利用提供储备土地。</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2）登统评估业务。收储地块范围、权属及前期公告等工作完成后，负责委托有资质的中介机构和公证处，协助做好收储地块附着物的登统、确认工作，对评估结果进行核对，对评估结果公告及评估报告妥善存档保存，协助财务股做好具备供地条件地块组卷工作；委托有资质的中介机构对涉及一级开发、土地平整等项目的工程造价估算等工作。使评估、工程造价等工作，做到客观公正。</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绩效目标：委托有资质的评估机构；按时完成评估工作；评估结果客观公正。</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3）成本核算业务。到测量公司完成规划用地与征收土地图件的套合，出具用地范围图。根据规划条件和国土局转办材料及收储补偿部门的有关资料，进行现场勘查，对规划地块进行成本核算，对存在问题上报区领导；到计划供地现场踏察核实供地范围和地表是否为净地。核算征收土地所发生的投入地块的费用。到与土地脱钩补偿部门或项目管理机构沟通了解相关情况。复印与组卷有关的依据资料，组成本卷复印一式三套，完成组卷后等待区土地利用小组会通过，之后报区国土局、区财政审核，区相关领导审签。</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绩效目标：按时完成宗地成本核算任务，加快土地利用进程，减轻负债压力，促进经济发展。</w:t>
      </w:r>
    </w:p>
    <w:p>
      <w:pPr>
        <w:spacing w:line="580" w:lineRule="exact"/>
        <w:ind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rPr>
        <w:t>3、工作保障措施</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2021年，在区委区政府的正确领导下，区土储中心坚持以习近平新时代中国特色社会主义思想为指导，深入贯彻党的十九大和十九届五中全会精神，认真落实中央和省、市、区委决策部署，盯牢主责主业，以防控疫情为重点，深入开展“三创四建”、纠正“四风”和作风纪律专项整治等活动，全力以赴、抢抓机遇、砥砺前行，以活动促工作，为高质高效完成本职工作打基础，努力增强责任意识、大局意识，以时不我待、舍我其谁的主人翁精神，迎难而上，扎扎实实做好各项工作。 </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1）加强党的领导，强化责任担当，为高质量完成全年任务提供坚强保障。深入学习宣传贯彻党的十九大五中精神及习近平新时代中国特色社会主义思想，进一步教育引导广大党员干部牢固树立“四个意识”，坚定“四个自信”，践行“两个维护”不断推进党的建设伟大工程取得新进展、促进各项工作迈上新台阶。</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（2）高度重视、全力以赴抗疫情。</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（3）提高工作效率，建立督办制度。为了提高工作完成效率，加快工作落实力度，创新了跟踪督办制度，并狠抓落实。</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（4）加强业务学习，增强业务技能</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为了在各项工作中做到严谨、合规，我单位始终将学习作为重中之重常抓不懈，努力营造浓厚的学习氛围，努力做到学以致用。针对不断出台的土地新政策，结合上级要求和业务实际情况制定学习计划，学习新政策，了解新知识，增强新技能。利用所学为将来的各方面业务保驾护航。</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（5）增强理想信念、政治意识、大局意识和廉洁自律意识，业务政策水平、实际工作能力和综合素质大幅提升，营造风清气正团结向上的氛围，为更好的完成各项工作打下良好基础。</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（6）在区委、区政府的坚强领导下，不忘初心，砥砺前行，勇于应对挑战，扎扎实实的做好本年各项工作，不断开创土储发展新局面，为推动双桥实现高质量发展不懈奋斗。</w:t>
      </w:r>
    </w:p>
    <w:p>
      <w:pPr>
        <w:spacing w:line="500" w:lineRule="exact"/>
        <w:ind w:firstLine="640" w:firstLineChars="200"/>
        <w:jc w:val="left"/>
        <w:rPr>
          <w:rFonts w:ascii="Times New Roman" w:eastAsia="方正仿宋_GBK"/>
          <w:sz w:val="28"/>
        </w:rPr>
      </w:pPr>
      <w:r>
        <w:rPr>
          <w:rFonts w:hint="eastAsia" w:ascii="仿宋_GB2312" w:eastAsia="仿宋_GB2312"/>
          <w:sz w:val="32"/>
          <w:szCs w:val="32"/>
        </w:rPr>
        <w:t>（7）按照区委区政府安排，高效完成拟出让地块组卷等各项工作。</w:t>
      </w:r>
    </w:p>
    <w:p>
      <w:pPr>
        <w:ind w:firstLine="640" w:firstLineChars="200"/>
        <w:rPr>
          <w:rFonts w:hint="eastAsia" w:ascii="黑体" w:hAnsi="黑体" w:eastAsia="黑体"/>
          <w:bCs/>
          <w:sz w:val="32"/>
          <w:szCs w:val="32"/>
        </w:rPr>
      </w:pPr>
      <w:r>
        <w:rPr>
          <w:rFonts w:hint="eastAsia" w:ascii="黑体" w:hAnsi="黑体" w:eastAsia="黑体"/>
          <w:bCs/>
          <w:sz w:val="32"/>
          <w:szCs w:val="32"/>
        </w:rPr>
        <w:t>第二部分  专项资金绩效目标</w:t>
      </w:r>
    </w:p>
    <w:p>
      <w:pPr>
        <w:pStyle w:val="2"/>
        <w:ind w:firstLine="960" w:firstLineChars="300"/>
        <w:rPr>
          <w:rFonts w:hint="default" w:ascii="仿宋_GB2312" w:hAnsi="Times New Roman" w:eastAsia="仿宋_GB2312" w:cs="Times New Roman"/>
          <w:b w:val="0"/>
          <w:bCs w:val="0"/>
          <w:color w:val="auto"/>
          <w:kern w:val="2"/>
          <w:sz w:val="32"/>
          <w:szCs w:val="32"/>
          <w:lang w:val="en-US" w:eastAsia="zh-CN" w:bidi="ar-SA"/>
        </w:rPr>
      </w:pPr>
      <w:r>
        <w:rPr>
          <w:rFonts w:hint="eastAsia" w:ascii="仿宋_GB2312" w:hAnsi="Times New Roman" w:eastAsia="仿宋_GB2312" w:cs="Times New Roman"/>
          <w:b w:val="0"/>
          <w:bCs w:val="0"/>
          <w:color w:val="auto"/>
          <w:kern w:val="2"/>
          <w:sz w:val="32"/>
          <w:szCs w:val="32"/>
          <w:lang w:val="en-US" w:eastAsia="zh-CN" w:bidi="ar-SA"/>
        </w:rPr>
        <w:t>无</w:t>
      </w:r>
    </w:p>
    <w:p>
      <w:pPr>
        <w:ind w:firstLine="640" w:firstLineChars="200"/>
        <w:jc w:val="left"/>
        <w:rPr>
          <w:rFonts w:hint="eastAsia" w:ascii="黑体" w:hAnsi="黑体" w:eastAsia="黑体"/>
          <w:bCs/>
          <w:sz w:val="32"/>
          <w:szCs w:val="32"/>
        </w:rPr>
      </w:pPr>
      <w:r>
        <w:rPr>
          <w:rFonts w:hint="eastAsia" w:ascii="黑体" w:hAnsi="黑体" w:eastAsia="黑体"/>
          <w:bCs/>
          <w:sz w:val="32"/>
          <w:szCs w:val="32"/>
        </w:rPr>
        <w:t>第三部分  预算项目绩效目标</w:t>
      </w:r>
    </w:p>
    <w:p>
      <w:pPr>
        <w:ind w:firstLine="562" w:firstLineChars="200"/>
        <w:jc w:val="left"/>
        <w:outlineLvl w:val="3"/>
        <w:rPr>
          <w:rFonts w:ascii="Times New Roman" w:hAnsi="宋体"/>
          <w:b/>
          <w:sz w:val="28"/>
        </w:rPr>
      </w:pPr>
      <w:bookmarkStart w:id="16" w:name="_Toc68163527"/>
      <w:r>
        <w:rPr>
          <w:rFonts w:hint="eastAsia" w:ascii="方正仿宋_GBK" w:eastAsia="方正仿宋_GBK"/>
          <w:b/>
          <w:sz w:val="28"/>
        </w:rPr>
        <w:t>1.土地收储经费绩效目标表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1、财政委托评审绩效目标表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承德市双桥区土地收购储备中心本级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13080221TQP2CGF0GVE2X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土地收储经费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日常公用经费支出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完成各项任务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按照预算进度支付各项资金</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支付及时准确</w:t>
            </w:r>
          </w:p>
        </w:tc>
      </w:tr>
    </w:tbl>
    <w:p>
      <w:pPr>
        <w:spacing w:line="14" w:lineRule="exact"/>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按时有序支付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及时准确转入相应账户</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各项任务完成及时率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业务能力增强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业务能力增强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7" w:name="_Toc68163528"/>
      <w:r>
        <w:rPr>
          <w:rFonts w:hint="eastAsia" w:ascii="方正仿宋_GBK" w:eastAsia="方正仿宋_GBK"/>
          <w:b/>
          <w:sz w:val="28"/>
        </w:rPr>
        <w:t>2.2020年土地储备专项债券地块测绘费绩效目标表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2、行政事业单位及村会计培训绩效目标表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承德市双桥区土地收购储备中心本级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13080221NG2R8GNHV9STG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年土地储备专项债券地块测绘费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土地储备债券项目地块测绘费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完成目标任务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按预算进度执行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保证资金支付及时准确</w:t>
            </w:r>
          </w:p>
        </w:tc>
      </w:tr>
    </w:tbl>
    <w:p>
      <w:pPr>
        <w:spacing w:line="14" w:lineRule="exact"/>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按时有序支付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及时准确转入制定账户</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各项任务完成及时率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业务能力增强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业务能力增强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bl>
    <w:p>
      <w:pPr>
        <w:spacing w:line="300" w:lineRule="exact"/>
        <w:jc w:val="left"/>
        <w:sectPr>
          <w:pgSz w:w="16839" w:h="11907" w:orient="landscape"/>
          <w:pgMar w:top="1304" w:right="1984" w:bottom="1304" w:left="1134" w:header="851" w:footer="992" w:gutter="0"/>
          <w:cols w:space="720" w:num="1"/>
          <w:docGrid w:type="lines" w:linePitch="312" w:charSpace="0"/>
        </w:sectPr>
      </w:pPr>
    </w:p>
    <w:p>
      <w:pPr>
        <w:ind w:firstLine="562" w:firstLineChars="200"/>
        <w:jc w:val="left"/>
        <w:outlineLvl w:val="3"/>
        <w:rPr>
          <w:rFonts w:ascii="Times New Roman" w:hAnsi="宋体"/>
          <w:b/>
          <w:sz w:val="28"/>
        </w:rPr>
      </w:pPr>
      <w:r>
        <w:rPr>
          <w:rFonts w:hint="eastAsia" w:ascii="方正仿宋_GBK" w:eastAsia="方正仿宋_GBK"/>
          <w:b/>
          <w:sz w:val="28"/>
        </w:rPr>
        <w:t>3.2020年土地</w:t>
      </w:r>
      <w:r>
        <w:rPr>
          <w:rFonts w:hint="eastAsia" w:ascii="仿宋_GB2312" w:eastAsia="仿宋_GB2312"/>
          <w:sz w:val="32"/>
          <w:szCs w:val="32"/>
        </w:rPr>
        <w:t>储备</w:t>
      </w:r>
      <w:r>
        <w:rPr>
          <w:rFonts w:hint="eastAsia" w:ascii="方正仿宋_GBK" w:eastAsia="方正仿宋_GBK"/>
          <w:b/>
          <w:sz w:val="28"/>
        </w:rPr>
        <w:t>专项债券地块土地评估费绩效目标表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2、行政事业单位及村会计培训绩效目标表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324001</w:t>
            </w:r>
            <w:r>
              <w:rPr>
                <w:rFonts w:hint="eastAsia" w:ascii="方正书宋_GBK" w:eastAsia="方正书宋_GBK"/>
                <w:b/>
              </w:rPr>
              <w:t>承德市双桥区土地收购储备中心本级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1308022117HGTIQCNOFBR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年土地储备专项债券地块土地评估费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19.13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19.13</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第二批土地储备专项债券项目用地评估费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完成预算任务目标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按照预算资金执行</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确保资金支付及时准确</w:t>
            </w:r>
          </w:p>
        </w:tc>
      </w:tr>
    </w:tbl>
    <w:p>
      <w:pPr>
        <w:spacing w:line="14" w:lineRule="exact"/>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支出完成率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按时有序支付</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付款准确率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及时准确转入指定账户</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各项任务完成及时率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各项任务完成及时率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按预算资金完成率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按预算资金完成率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提高效率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工作完成率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业务能力增强</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业务能力增强</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项</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bl>
    <w:p>
      <w:pPr>
        <w:spacing w:line="300" w:lineRule="exact"/>
        <w:jc w:val="left"/>
        <w:sectPr>
          <w:pgSz w:w="16839" w:h="11907" w:orient="landscape"/>
          <w:pgMar w:top="1304" w:right="1984" w:bottom="1304" w:left="1134" w:header="851" w:footer="992" w:gutter="0"/>
          <w:cols w:space="425" w:num="1"/>
          <w:docGrid w:type="lines" w:linePitch="312" w:charSpace="0"/>
        </w:sectPr>
      </w:pPr>
    </w:p>
    <w:p>
      <w:pPr>
        <w:spacing w:line="580" w:lineRule="exact"/>
        <w:rPr>
          <w:rFonts w:hint="eastAsia" w:eastAsia="方正仿宋_GBK"/>
          <w:sz w:val="32"/>
          <w:szCs w:val="32"/>
        </w:rPr>
      </w:pPr>
    </w:p>
    <w:bookmarkEnd w:id="15"/>
    <w:p>
      <w:pPr>
        <w:autoSpaceDE w:val="0"/>
        <w:autoSpaceDN w:val="0"/>
        <w:adjustRightInd w:val="0"/>
        <w:jc w:val="left"/>
        <w:outlineLvl w:val="0"/>
        <w:rPr>
          <w:rFonts w:hint="eastAsia" w:ascii="黑体" w:hAnsi="黑体" w:eastAsia="黑体" w:cs="Times New Roman"/>
          <w:sz w:val="32"/>
          <w:szCs w:val="32"/>
        </w:rPr>
      </w:pPr>
      <w:r>
        <w:rPr>
          <w:rFonts w:hint="eastAsia" w:ascii="黑体" w:hAnsi="黑体" w:eastAsia="黑体" w:cs="Times New Roman"/>
          <w:sz w:val="32"/>
          <w:szCs w:val="32"/>
        </w:rPr>
        <w:t xml:space="preserve">   </w:t>
      </w:r>
      <w:bookmarkStart w:id="18" w:name="_Toc30990"/>
      <w:r>
        <w:rPr>
          <w:rFonts w:hint="eastAsia" w:ascii="黑体" w:hAnsi="黑体" w:eastAsia="黑体" w:cs="Times New Roman"/>
          <w:sz w:val="32"/>
          <w:szCs w:val="32"/>
        </w:rPr>
        <w:t>六、政府采购预算情况</w:t>
      </w:r>
      <w:bookmarkEnd w:id="18"/>
      <w:bookmarkStart w:id="19" w:name="_Toc471398468"/>
    </w:p>
    <w:p>
      <w:pPr>
        <w:autoSpaceDE w:val="0"/>
        <w:autoSpaceDN w:val="0"/>
        <w:adjustRightInd w:val="0"/>
        <w:ind w:firstLine="640" w:firstLineChars="200"/>
        <w:jc w:val="left"/>
        <w:rPr>
          <w:rFonts w:hint="eastAsia" w:ascii="仿宋_GB2312" w:hAnsi="Times New Roman" w:eastAsia="仿宋_GB2312"/>
          <w:sz w:val="32"/>
          <w:szCs w:val="32"/>
        </w:rPr>
      </w:pPr>
      <w:r>
        <w:rPr>
          <w:rFonts w:hint="eastAsia" w:ascii="仿宋_GB2312" w:hAnsi="Times New Roman" w:eastAsia="仿宋_GB2312"/>
          <w:sz w:val="32"/>
          <w:szCs w:val="32"/>
        </w:rPr>
        <w:t>2021年，我部门安排政府采购预算0万元。具体内容见下表。</w:t>
      </w:r>
    </w:p>
    <w:p>
      <w:pPr>
        <w:spacing w:line="400" w:lineRule="exact"/>
        <w:ind w:firstLine="640" w:firstLineChars="200"/>
        <w:jc w:val="center"/>
        <w:outlineLvl w:val="0"/>
        <w:rPr>
          <w:rFonts w:hint="eastAsia" w:ascii="方正小标宋_GBK" w:eastAsia="方正小标宋_GBK"/>
          <w:sz w:val="32"/>
        </w:rPr>
      </w:pPr>
    </w:p>
    <w:p>
      <w:pPr>
        <w:spacing w:line="400" w:lineRule="exact"/>
        <w:ind w:firstLine="640" w:firstLineChars="200"/>
        <w:jc w:val="center"/>
        <w:outlineLvl w:val="9"/>
        <w:rPr>
          <w:rFonts w:ascii="Times New Roman" w:hAnsi="宋体"/>
          <w:sz w:val="32"/>
        </w:rPr>
      </w:pPr>
      <w:r>
        <w:rPr>
          <w:rFonts w:hint="eastAsia" w:ascii="方正小标宋_GBK" w:eastAsia="方正小标宋_GBK"/>
          <w:sz w:val="32"/>
        </w:rPr>
        <w:t>部门政府采购预算</w:t>
      </w:r>
      <w:r>
        <w:fldChar w:fldCharType="begin"/>
      </w:r>
      <w:r>
        <w:rPr>
          <w:rFonts w:ascii="方正小标宋_GBK" w:eastAsia="方正小标宋_GBK"/>
          <w:sz w:val="32"/>
        </w:rPr>
        <w:instrText xml:space="preserve"> </w:instrText>
      </w:r>
      <w:r>
        <w:rPr>
          <w:rFonts w:hint="eastAsia" w:ascii="方正小标宋_GBK" w:eastAsia="方正小标宋_GBK"/>
          <w:sz w:val="32"/>
        </w:rPr>
        <w:instrText xml:space="preserve">TC </w:instrText>
      </w:r>
      <w:bookmarkStart w:id="20" w:name="_Toc31625694"/>
      <w:r>
        <w:rPr>
          <w:rFonts w:hint="eastAsia" w:ascii="方正小标宋_GBK" w:eastAsia="方正小标宋_GBK"/>
          <w:sz w:val="32"/>
        </w:rPr>
        <w:instrText xml:space="preserve">部门政府采购预算</w:instrText>
      </w:r>
      <w:bookmarkEnd w:id="20"/>
      <w:r>
        <w:rPr>
          <w:rFonts w:hint="eastAsia" w:ascii="方正小标宋_GBK" w:eastAsia="方正小标宋_GBK"/>
          <w:sz w:val="32"/>
        </w:rPr>
        <w:instrText xml:space="preserve"> \f A \l 1</w:instrText>
      </w:r>
      <w:r>
        <w:rPr>
          <w:rFonts w:ascii="方正小标宋_GBK" w:eastAsia="方正小标宋_GBK"/>
          <w:sz w:val="32"/>
        </w:rPr>
        <w:instrText xml:space="preserve"> </w:instrText>
      </w:r>
      <w:r>
        <w:rPr>
          <w:rFonts w:ascii="方正小标宋_GBK" w:eastAsia="方正小标宋_GBK"/>
          <w:sz w:val="32"/>
        </w:rPr>
        <w:fldChar w:fldCharType="end"/>
      </w:r>
    </w:p>
    <w:bookmarkEnd w:id="19"/>
    <w:p>
      <w:pPr>
        <w:spacing w:line="300" w:lineRule="exact"/>
        <w:jc w:val="left"/>
        <w:outlineLvl w:val="9"/>
        <w:rPr>
          <w:rFonts w:hint="eastAsia"/>
        </w:rPr>
      </w:pPr>
    </w:p>
    <w:tbl>
      <w:tblPr>
        <w:tblStyle w:val="5"/>
        <w:tblW w:w="113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3"/>
        <w:gridCol w:w="1387"/>
        <w:gridCol w:w="696"/>
        <w:gridCol w:w="813"/>
        <w:gridCol w:w="580"/>
        <w:gridCol w:w="553"/>
        <w:gridCol w:w="742"/>
        <w:gridCol w:w="730"/>
        <w:gridCol w:w="1126"/>
        <w:gridCol w:w="928"/>
        <w:gridCol w:w="928"/>
        <w:gridCol w:w="928"/>
        <w:gridCol w:w="7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1" w:hRule="atLeast"/>
          <w:tblHeader/>
          <w:jc w:val="center"/>
        </w:trPr>
        <w:tc>
          <w:tcPr>
            <w:tcW w:w="6014"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324</w:t>
            </w:r>
            <w:r>
              <w:rPr>
                <w:rFonts w:hint="eastAsia" w:ascii="方正小标宋_GBK" w:eastAsia="方正小标宋_GBK"/>
                <w:sz w:val="24"/>
              </w:rPr>
              <w:t>承德市双桥区土地收购储备中心</w:t>
            </w:r>
          </w:p>
        </w:tc>
        <w:tc>
          <w:tcPr>
            <w:tcW w:w="5372"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小标宋_GBK" w:eastAsia="方正小标宋_GBK"/>
                <w:sz w:val="24"/>
              </w:rPr>
            </w:pPr>
            <w:r>
              <w:rPr>
                <w:rFonts w:hint="eastAsia" w:ascii="方正小标宋_GBK" w:eastAsia="方正小标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1" w:hRule="atLeast"/>
          <w:tblHeader/>
          <w:jc w:val="center"/>
        </w:trPr>
        <w:tc>
          <w:tcPr>
            <w:tcW w:w="2630"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696"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81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580"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w:t>
            </w:r>
            <w:r>
              <w:rPr>
                <w:rFonts w:hint="eastAsia" w:ascii="方正书宋_GBK" w:eastAsia="方正书宋_GBK"/>
                <w:b/>
              </w:rPr>
              <w:t>单位</w:t>
            </w:r>
          </w:p>
        </w:tc>
        <w:tc>
          <w:tcPr>
            <w:tcW w:w="553"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742"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5372"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1" w:hRule="atLeast"/>
          <w:tblHeader/>
          <w:jc w:val="center"/>
        </w:trPr>
        <w:tc>
          <w:tcPr>
            <w:tcW w:w="1243"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3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696" w:type="dxa"/>
            <w:vMerge w:val="continue"/>
            <w:shd w:val="clear" w:color="auto" w:fill="auto"/>
            <w:noWrap w:val="0"/>
            <w:vAlign w:val="center"/>
          </w:tcPr>
          <w:p>
            <w:pPr>
              <w:spacing w:line="300" w:lineRule="exact"/>
              <w:jc w:val="left"/>
            </w:pPr>
          </w:p>
        </w:tc>
        <w:tc>
          <w:tcPr>
            <w:tcW w:w="813" w:type="dxa"/>
            <w:vMerge w:val="continue"/>
            <w:shd w:val="clear" w:color="auto" w:fill="auto"/>
            <w:noWrap w:val="0"/>
            <w:vAlign w:val="center"/>
          </w:tcPr>
          <w:p>
            <w:pPr>
              <w:spacing w:line="300" w:lineRule="exact"/>
              <w:jc w:val="left"/>
            </w:pPr>
          </w:p>
        </w:tc>
        <w:tc>
          <w:tcPr>
            <w:tcW w:w="580" w:type="dxa"/>
            <w:vMerge w:val="continue"/>
            <w:shd w:val="clear" w:color="auto" w:fill="auto"/>
            <w:noWrap w:val="0"/>
            <w:vAlign w:val="center"/>
          </w:tcPr>
          <w:p>
            <w:pPr>
              <w:spacing w:line="300" w:lineRule="exact"/>
              <w:jc w:val="left"/>
            </w:pPr>
          </w:p>
        </w:tc>
        <w:tc>
          <w:tcPr>
            <w:tcW w:w="553" w:type="dxa"/>
            <w:vMerge w:val="continue"/>
            <w:shd w:val="clear" w:color="auto" w:fill="auto"/>
            <w:noWrap w:val="0"/>
            <w:vAlign w:val="center"/>
          </w:tcPr>
          <w:p>
            <w:pPr>
              <w:spacing w:line="300" w:lineRule="exact"/>
              <w:jc w:val="left"/>
            </w:pPr>
          </w:p>
        </w:tc>
        <w:tc>
          <w:tcPr>
            <w:tcW w:w="742" w:type="dxa"/>
            <w:vMerge w:val="continue"/>
            <w:shd w:val="clear" w:color="auto" w:fill="auto"/>
            <w:noWrap w:val="0"/>
            <w:vAlign w:val="center"/>
          </w:tcPr>
          <w:p>
            <w:pPr>
              <w:spacing w:line="300" w:lineRule="exact"/>
              <w:jc w:val="left"/>
            </w:pPr>
          </w:p>
        </w:tc>
        <w:tc>
          <w:tcPr>
            <w:tcW w:w="730"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2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92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732"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1" w:hRule="atLeast"/>
          <w:jc w:val="center"/>
        </w:trPr>
        <w:tc>
          <w:tcPr>
            <w:tcW w:w="1243" w:type="dxa"/>
            <w:shd w:val="clear" w:color="auto" w:fill="auto"/>
            <w:noWrap w:val="0"/>
            <w:vAlign w:val="center"/>
          </w:tcPr>
          <w:p>
            <w:pPr>
              <w:spacing w:line="300" w:lineRule="exact"/>
              <w:jc w:val="center"/>
              <w:rPr>
                <w:rFonts w:ascii="方正书宋_GBK" w:eastAsia="方正书宋_GBK"/>
                <w:b/>
              </w:rPr>
            </w:pPr>
          </w:p>
        </w:tc>
        <w:tc>
          <w:tcPr>
            <w:tcW w:w="1387" w:type="dxa"/>
            <w:shd w:val="clear" w:color="auto" w:fill="auto"/>
            <w:noWrap w:val="0"/>
            <w:vAlign w:val="center"/>
          </w:tcPr>
          <w:p>
            <w:pPr>
              <w:spacing w:line="300" w:lineRule="exact"/>
              <w:jc w:val="right"/>
              <w:rPr>
                <w:rFonts w:ascii="方正书宋_GBK" w:eastAsia="方正书宋_GBK"/>
                <w:b/>
              </w:rPr>
            </w:pPr>
          </w:p>
        </w:tc>
        <w:tc>
          <w:tcPr>
            <w:tcW w:w="696" w:type="dxa"/>
            <w:shd w:val="clear" w:color="auto" w:fill="auto"/>
            <w:noWrap w:val="0"/>
            <w:vAlign w:val="center"/>
          </w:tcPr>
          <w:p>
            <w:pPr>
              <w:spacing w:line="300" w:lineRule="exact"/>
              <w:jc w:val="left"/>
              <w:rPr>
                <w:rFonts w:ascii="方正书宋_GBK" w:eastAsia="方正书宋_GBK"/>
                <w:b/>
              </w:rPr>
            </w:pPr>
          </w:p>
        </w:tc>
        <w:tc>
          <w:tcPr>
            <w:tcW w:w="813" w:type="dxa"/>
            <w:shd w:val="clear" w:color="auto" w:fill="auto"/>
            <w:noWrap w:val="0"/>
            <w:vAlign w:val="center"/>
          </w:tcPr>
          <w:p>
            <w:pPr>
              <w:spacing w:line="300" w:lineRule="exact"/>
              <w:jc w:val="left"/>
              <w:rPr>
                <w:rFonts w:ascii="方正书宋_GBK" w:eastAsia="方正书宋_GBK"/>
                <w:b/>
              </w:rPr>
            </w:pPr>
          </w:p>
        </w:tc>
        <w:tc>
          <w:tcPr>
            <w:tcW w:w="580" w:type="dxa"/>
            <w:shd w:val="clear" w:color="auto" w:fill="auto"/>
            <w:noWrap w:val="0"/>
            <w:vAlign w:val="center"/>
          </w:tcPr>
          <w:p>
            <w:pPr>
              <w:spacing w:line="300" w:lineRule="exact"/>
              <w:jc w:val="center"/>
              <w:rPr>
                <w:rFonts w:ascii="方正书宋_GBK" w:eastAsia="方正书宋_GBK"/>
                <w:b/>
              </w:rPr>
            </w:pPr>
          </w:p>
        </w:tc>
        <w:tc>
          <w:tcPr>
            <w:tcW w:w="553" w:type="dxa"/>
            <w:shd w:val="clear" w:color="auto" w:fill="auto"/>
            <w:noWrap w:val="0"/>
            <w:vAlign w:val="center"/>
          </w:tcPr>
          <w:p>
            <w:pPr>
              <w:spacing w:line="300" w:lineRule="exact"/>
              <w:jc w:val="right"/>
              <w:rPr>
                <w:rFonts w:ascii="方正书宋_GBK" w:eastAsia="方正书宋_GBK"/>
                <w:b/>
              </w:rPr>
            </w:pPr>
          </w:p>
        </w:tc>
        <w:tc>
          <w:tcPr>
            <w:tcW w:w="742" w:type="dxa"/>
            <w:shd w:val="clear" w:color="auto" w:fill="auto"/>
            <w:noWrap w:val="0"/>
            <w:vAlign w:val="center"/>
          </w:tcPr>
          <w:p>
            <w:pPr>
              <w:spacing w:line="300" w:lineRule="exact"/>
              <w:jc w:val="right"/>
              <w:rPr>
                <w:rFonts w:ascii="方正书宋_GBK" w:eastAsia="方正书宋_GBK"/>
                <w:b/>
              </w:rPr>
            </w:pPr>
          </w:p>
        </w:tc>
        <w:tc>
          <w:tcPr>
            <w:tcW w:w="730" w:type="dxa"/>
            <w:shd w:val="clear" w:color="auto" w:fill="auto"/>
            <w:noWrap w:val="0"/>
            <w:vAlign w:val="center"/>
          </w:tcPr>
          <w:p>
            <w:pPr>
              <w:spacing w:line="300" w:lineRule="exact"/>
              <w:jc w:val="right"/>
              <w:rPr>
                <w:rFonts w:ascii="方正书宋_GBK" w:eastAsia="方正书宋_GBK"/>
                <w:b/>
              </w:rPr>
            </w:pPr>
          </w:p>
        </w:tc>
        <w:tc>
          <w:tcPr>
            <w:tcW w:w="1126" w:type="dxa"/>
            <w:shd w:val="clear" w:color="auto" w:fill="auto"/>
            <w:noWrap w:val="0"/>
            <w:vAlign w:val="center"/>
          </w:tcPr>
          <w:p>
            <w:pPr>
              <w:spacing w:line="300" w:lineRule="exact"/>
              <w:jc w:val="right"/>
              <w:rPr>
                <w:rFonts w:ascii="方正书宋_GBK" w:eastAsia="方正书宋_GBK"/>
                <w:b/>
              </w:rPr>
            </w:pPr>
          </w:p>
        </w:tc>
        <w:tc>
          <w:tcPr>
            <w:tcW w:w="928" w:type="dxa"/>
            <w:shd w:val="clear" w:color="auto" w:fill="auto"/>
            <w:noWrap w:val="0"/>
            <w:vAlign w:val="center"/>
          </w:tcPr>
          <w:p>
            <w:pPr>
              <w:spacing w:line="300" w:lineRule="exact"/>
              <w:jc w:val="right"/>
              <w:rPr>
                <w:rFonts w:ascii="方正书宋_GBK" w:eastAsia="方正书宋_GBK"/>
                <w:b/>
              </w:rPr>
            </w:pPr>
          </w:p>
        </w:tc>
        <w:tc>
          <w:tcPr>
            <w:tcW w:w="928" w:type="dxa"/>
            <w:shd w:val="clear" w:color="auto" w:fill="auto"/>
            <w:noWrap w:val="0"/>
            <w:vAlign w:val="center"/>
          </w:tcPr>
          <w:p>
            <w:pPr>
              <w:spacing w:line="300" w:lineRule="exact"/>
              <w:jc w:val="right"/>
              <w:rPr>
                <w:rFonts w:ascii="方正书宋_GBK" w:eastAsia="方正书宋_GBK"/>
                <w:b/>
              </w:rPr>
            </w:pPr>
          </w:p>
        </w:tc>
        <w:tc>
          <w:tcPr>
            <w:tcW w:w="928" w:type="dxa"/>
            <w:shd w:val="clear" w:color="auto" w:fill="auto"/>
            <w:noWrap w:val="0"/>
            <w:vAlign w:val="center"/>
          </w:tcPr>
          <w:p>
            <w:pPr>
              <w:spacing w:line="300" w:lineRule="exact"/>
              <w:jc w:val="right"/>
              <w:rPr>
                <w:rFonts w:ascii="方正书宋_GBK" w:eastAsia="方正书宋_GBK"/>
                <w:b/>
              </w:rPr>
            </w:pPr>
          </w:p>
        </w:tc>
        <w:tc>
          <w:tcPr>
            <w:tcW w:w="732" w:type="dxa"/>
            <w:shd w:val="clear" w:color="auto" w:fill="auto"/>
            <w:noWrap w:val="0"/>
            <w:vAlign w:val="center"/>
          </w:tcPr>
          <w:p>
            <w:pPr>
              <w:spacing w:line="300" w:lineRule="exact"/>
              <w:jc w:val="right"/>
              <w:rPr>
                <w:rFonts w:ascii="方正书宋_GBK" w:eastAsia="方正书宋_GBK"/>
                <w:b/>
              </w:rPr>
            </w:pPr>
          </w:p>
        </w:tc>
      </w:tr>
    </w:tbl>
    <w:p>
      <w:pPr>
        <w:jc w:val="left"/>
        <w:rPr>
          <w:rFonts w:hint="eastAsia" w:ascii="仿宋_GB2312" w:hAnsi="宋体" w:eastAsia="仿宋_GB2312"/>
          <w:sz w:val="28"/>
          <w:szCs w:val="28"/>
        </w:rPr>
        <w:sectPr>
          <w:footerReference r:id="rId5" w:type="default"/>
          <w:pgSz w:w="16839" w:h="11907" w:orient="landscape"/>
          <w:pgMar w:top="1361" w:right="1020" w:bottom="1361" w:left="1020" w:header="851" w:footer="992" w:gutter="0"/>
          <w:cols w:space="720" w:num="1"/>
          <w:docGrid w:type="lines" w:linePitch="312" w:charSpace="0"/>
        </w:sectPr>
      </w:pPr>
      <w:r>
        <w:rPr>
          <w:rFonts w:hint="eastAsia" w:ascii="仿宋_GB2312" w:eastAsia="仿宋_GB2312"/>
          <w:sz w:val="28"/>
          <w:szCs w:val="28"/>
        </w:rPr>
        <w:t>注：无政府采购预算，空表列示。</w:t>
      </w:r>
    </w:p>
    <w:p>
      <w:pPr>
        <w:autoSpaceDE w:val="0"/>
        <w:autoSpaceDN w:val="0"/>
        <w:adjustRightInd w:val="0"/>
        <w:spacing w:line="560" w:lineRule="exact"/>
        <w:jc w:val="left"/>
        <w:outlineLvl w:val="0"/>
        <w:rPr>
          <w:rFonts w:ascii="黑体" w:hAnsi="黑体" w:eastAsia="黑体" w:cs="Times New Roman"/>
          <w:sz w:val="32"/>
          <w:szCs w:val="32"/>
        </w:rPr>
      </w:pPr>
      <w:bookmarkStart w:id="21" w:name="_Toc2342"/>
      <w:r>
        <w:rPr>
          <w:rFonts w:hint="eastAsia" w:ascii="黑体" w:hAnsi="黑体" w:eastAsia="黑体" w:cs="Times New Roman"/>
          <w:sz w:val="32"/>
          <w:szCs w:val="32"/>
        </w:rPr>
        <w:t>七、国有资产信息</w:t>
      </w:r>
      <w:bookmarkEnd w:id="21"/>
    </w:p>
    <w:p>
      <w:pPr>
        <w:spacing w:line="560"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承德市双桥区土地收购储备中心上年末资产总计197819.092798万元（详见下表），其中固定资产净值金额为</w:t>
      </w:r>
      <w:r>
        <w:rPr>
          <w:rFonts w:hint="eastAsia" w:ascii="仿宋_GB2312" w:hAnsi="仿宋" w:eastAsia="仿宋_GB2312"/>
          <w:sz w:val="32"/>
          <w:szCs w:val="32"/>
        </w:rPr>
        <w:t>14.289093</w:t>
      </w:r>
      <w:r>
        <w:rPr>
          <w:rFonts w:hint="eastAsia" w:ascii="仿宋_GB2312" w:hAnsi="黑体" w:eastAsia="仿宋_GB2312" w:cs="Times New Roman"/>
          <w:sz w:val="32"/>
          <w:szCs w:val="32"/>
        </w:rPr>
        <w:t>万元，无形资产金额为0万元。</w:t>
      </w:r>
    </w:p>
    <w:tbl>
      <w:tblPr>
        <w:tblStyle w:val="5"/>
        <w:tblW w:w="0" w:type="auto"/>
        <w:jc w:val="center"/>
        <w:tblLayout w:type="fixed"/>
        <w:tblCellMar>
          <w:top w:w="0" w:type="dxa"/>
          <w:left w:w="108" w:type="dxa"/>
          <w:bottom w:w="0" w:type="dxa"/>
          <w:right w:w="108" w:type="dxa"/>
        </w:tblCellMar>
      </w:tblPr>
      <w:tblGrid>
        <w:gridCol w:w="2775"/>
        <w:gridCol w:w="1424"/>
        <w:gridCol w:w="3105"/>
      </w:tblGrid>
      <w:tr>
        <w:tblPrEx>
          <w:tblCellMar>
            <w:top w:w="0" w:type="dxa"/>
            <w:left w:w="108" w:type="dxa"/>
            <w:bottom w:w="0" w:type="dxa"/>
            <w:right w:w="108" w:type="dxa"/>
          </w:tblCellMar>
        </w:tblPrEx>
        <w:trPr>
          <w:trHeight w:val="705" w:hRule="atLeast"/>
          <w:jc w:val="center"/>
        </w:trPr>
        <w:tc>
          <w:tcPr>
            <w:tcW w:w="7304" w:type="dxa"/>
            <w:gridSpan w:val="3"/>
            <w:tcBorders>
              <w:top w:val="nil"/>
              <w:left w:val="nil"/>
              <w:bottom w:val="nil"/>
              <w:right w:val="nil"/>
            </w:tcBorders>
            <w:noWrap w:val="0"/>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固定资产占用情况表</w:t>
            </w:r>
          </w:p>
        </w:tc>
      </w:tr>
      <w:tr>
        <w:tblPrEx>
          <w:tblCellMar>
            <w:top w:w="0" w:type="dxa"/>
            <w:left w:w="108" w:type="dxa"/>
            <w:bottom w:w="0" w:type="dxa"/>
            <w:right w:w="108" w:type="dxa"/>
          </w:tblCellMar>
        </w:tblPrEx>
        <w:trPr>
          <w:trHeight w:val="510" w:hRule="atLeast"/>
          <w:jc w:val="center"/>
        </w:trPr>
        <w:tc>
          <w:tcPr>
            <w:tcW w:w="4199" w:type="dxa"/>
            <w:gridSpan w:val="2"/>
            <w:tcBorders>
              <w:top w:val="nil"/>
              <w:left w:val="nil"/>
              <w:bottom w:val="nil"/>
              <w:right w:val="nil"/>
            </w:tcBorders>
            <w:noWrap w:val="0"/>
            <w:vAlign w:val="center"/>
          </w:tcPr>
          <w:p>
            <w:pPr>
              <w:widowControl/>
              <w:jc w:val="left"/>
              <w:rPr>
                <w:rFonts w:ascii="宋体" w:hAnsi="宋体" w:cs="宋体"/>
                <w:kern w:val="0"/>
                <w:sz w:val="22"/>
              </w:rPr>
            </w:pPr>
            <w:r>
              <w:rPr>
                <w:rFonts w:hint="eastAsia" w:ascii="宋体" w:hAnsi="宋体" w:cs="宋体"/>
                <w:kern w:val="0"/>
                <w:sz w:val="22"/>
              </w:rPr>
              <w:t>编制部门：承德市双桥区土地收购储备中</w:t>
            </w:r>
          </w:p>
        </w:tc>
        <w:tc>
          <w:tcPr>
            <w:tcW w:w="3105" w:type="dxa"/>
            <w:tcBorders>
              <w:top w:val="nil"/>
              <w:left w:val="nil"/>
              <w:bottom w:val="nil"/>
              <w:right w:val="nil"/>
            </w:tcBorders>
            <w:noWrap w:val="0"/>
            <w:vAlign w:val="center"/>
          </w:tcPr>
          <w:p>
            <w:pPr>
              <w:widowControl/>
              <w:jc w:val="left"/>
              <w:rPr>
                <w:rFonts w:ascii="宋体" w:hAnsi="宋体" w:cs="宋体"/>
                <w:kern w:val="0"/>
                <w:sz w:val="22"/>
              </w:rPr>
            </w:pPr>
            <w:r>
              <w:rPr>
                <w:rFonts w:hint="eastAsia" w:ascii="宋体" w:hAnsi="宋体" w:cs="宋体"/>
                <w:kern w:val="0"/>
                <w:sz w:val="22"/>
              </w:rPr>
              <w:t xml:space="preserve">截止时间：2020年12月31日  </w:t>
            </w:r>
          </w:p>
        </w:tc>
      </w:tr>
      <w:tr>
        <w:tblPrEx>
          <w:tblCellMar>
            <w:top w:w="0" w:type="dxa"/>
            <w:left w:w="108" w:type="dxa"/>
            <w:bottom w:w="0" w:type="dxa"/>
            <w:right w:w="108" w:type="dxa"/>
          </w:tblCellMar>
        </w:tblPrEx>
        <w:trPr>
          <w:trHeight w:val="563" w:hRule="atLeast"/>
          <w:jc w:val="center"/>
        </w:trPr>
        <w:tc>
          <w:tcPr>
            <w:tcW w:w="277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项   目</w:t>
            </w:r>
          </w:p>
        </w:tc>
        <w:tc>
          <w:tcPr>
            <w:tcW w:w="142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数量</w:t>
            </w:r>
          </w:p>
        </w:tc>
        <w:tc>
          <w:tcPr>
            <w:tcW w:w="310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2"/>
              </w:rPr>
            </w:pPr>
            <w:r>
              <w:rPr>
                <w:rFonts w:hint="eastAsia" w:ascii="宋体" w:hAnsi="宋体" w:cs="宋体"/>
                <w:b/>
                <w:bCs/>
                <w:kern w:val="0"/>
                <w:sz w:val="22"/>
              </w:rPr>
              <w:t>价值（金额单位：万元）</w:t>
            </w:r>
          </w:p>
        </w:tc>
      </w:tr>
      <w:tr>
        <w:tblPrEx>
          <w:tblCellMar>
            <w:top w:w="0" w:type="dxa"/>
            <w:left w:w="108" w:type="dxa"/>
            <w:bottom w:w="0" w:type="dxa"/>
            <w:right w:w="108" w:type="dxa"/>
          </w:tblCellMar>
        </w:tblPrEx>
        <w:trPr>
          <w:trHeight w:val="472" w:hRule="atLeast"/>
          <w:jc w:val="center"/>
        </w:trPr>
        <w:tc>
          <w:tcPr>
            <w:tcW w:w="277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rPr>
            </w:pPr>
            <w:r>
              <w:rPr>
                <w:rFonts w:hint="eastAsia" w:ascii="宋体" w:hAnsi="宋体" w:cs="宋体"/>
                <w:kern w:val="0"/>
                <w:sz w:val="22"/>
              </w:rPr>
              <w:t>资产总额</w:t>
            </w:r>
          </w:p>
        </w:tc>
        <w:tc>
          <w:tcPr>
            <w:tcW w:w="142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w:t>
            </w:r>
          </w:p>
        </w:tc>
        <w:tc>
          <w:tcPr>
            <w:tcW w:w="31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szCs w:val="21"/>
              </w:rPr>
              <w:t>14.289093</w:t>
            </w:r>
          </w:p>
        </w:tc>
      </w:tr>
      <w:tr>
        <w:tblPrEx>
          <w:tblCellMar>
            <w:top w:w="0" w:type="dxa"/>
            <w:left w:w="108" w:type="dxa"/>
            <w:bottom w:w="0" w:type="dxa"/>
            <w:right w:w="108" w:type="dxa"/>
          </w:tblCellMar>
        </w:tblPrEx>
        <w:trPr>
          <w:trHeight w:val="530" w:hRule="atLeast"/>
          <w:jc w:val="center"/>
        </w:trPr>
        <w:tc>
          <w:tcPr>
            <w:tcW w:w="277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rPr>
            </w:pPr>
            <w:r>
              <w:rPr>
                <w:rFonts w:hint="eastAsia" w:ascii="宋体" w:hAnsi="宋体" w:cs="宋体"/>
                <w:kern w:val="0"/>
                <w:sz w:val="22"/>
              </w:rPr>
              <w:t>1、通用设备</w:t>
            </w:r>
          </w:p>
        </w:tc>
        <w:tc>
          <w:tcPr>
            <w:tcW w:w="142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35</w:t>
            </w:r>
          </w:p>
        </w:tc>
        <w:tc>
          <w:tcPr>
            <w:tcW w:w="31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11.897979</w:t>
            </w:r>
          </w:p>
        </w:tc>
      </w:tr>
      <w:tr>
        <w:tblPrEx>
          <w:tblCellMar>
            <w:top w:w="0" w:type="dxa"/>
            <w:left w:w="108" w:type="dxa"/>
            <w:bottom w:w="0" w:type="dxa"/>
            <w:right w:w="108" w:type="dxa"/>
          </w:tblCellMar>
        </w:tblPrEx>
        <w:trPr>
          <w:trHeight w:val="544" w:hRule="atLeast"/>
          <w:jc w:val="center"/>
        </w:trPr>
        <w:tc>
          <w:tcPr>
            <w:tcW w:w="277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rPr>
            </w:pPr>
            <w:r>
              <w:rPr>
                <w:rFonts w:hint="eastAsia" w:ascii="宋体" w:hAnsi="宋体" w:cs="宋体"/>
                <w:kern w:val="0"/>
                <w:sz w:val="22"/>
              </w:rPr>
              <w:t xml:space="preserve">  其中：车辆（台、辆）</w:t>
            </w:r>
          </w:p>
        </w:tc>
        <w:tc>
          <w:tcPr>
            <w:tcW w:w="142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1</w:t>
            </w:r>
          </w:p>
        </w:tc>
        <w:tc>
          <w:tcPr>
            <w:tcW w:w="31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7.833208</w:t>
            </w:r>
          </w:p>
        </w:tc>
      </w:tr>
      <w:tr>
        <w:tblPrEx>
          <w:tblCellMar>
            <w:top w:w="0" w:type="dxa"/>
            <w:left w:w="108" w:type="dxa"/>
            <w:bottom w:w="0" w:type="dxa"/>
            <w:right w:w="108" w:type="dxa"/>
          </w:tblCellMar>
        </w:tblPrEx>
        <w:trPr>
          <w:trHeight w:val="544" w:hRule="atLeast"/>
          <w:jc w:val="center"/>
        </w:trPr>
        <w:tc>
          <w:tcPr>
            <w:tcW w:w="277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rPr>
            </w:pPr>
            <w:r>
              <w:rPr>
                <w:rFonts w:hint="eastAsia" w:ascii="宋体" w:hAnsi="宋体" w:cs="宋体"/>
                <w:kern w:val="0"/>
                <w:sz w:val="22"/>
              </w:rPr>
              <w:t>2、家具、用具、装具及动植物</w:t>
            </w:r>
          </w:p>
        </w:tc>
        <w:tc>
          <w:tcPr>
            <w:tcW w:w="142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24</w:t>
            </w:r>
          </w:p>
        </w:tc>
        <w:tc>
          <w:tcPr>
            <w:tcW w:w="31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r>
              <w:rPr>
                <w:rFonts w:hint="eastAsia" w:ascii="宋体" w:hAnsi="宋体" w:cs="宋体"/>
                <w:kern w:val="0"/>
                <w:sz w:val="22"/>
              </w:rPr>
              <w:t>2.391114</w:t>
            </w:r>
          </w:p>
        </w:tc>
      </w:tr>
      <w:tr>
        <w:tblPrEx>
          <w:tblCellMar>
            <w:top w:w="0" w:type="dxa"/>
            <w:left w:w="108" w:type="dxa"/>
            <w:bottom w:w="0" w:type="dxa"/>
            <w:right w:w="108" w:type="dxa"/>
          </w:tblCellMar>
        </w:tblPrEx>
        <w:trPr>
          <w:trHeight w:val="515" w:hRule="atLeast"/>
          <w:jc w:val="center"/>
        </w:trPr>
        <w:tc>
          <w:tcPr>
            <w:tcW w:w="277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rPr>
            </w:pPr>
          </w:p>
        </w:tc>
        <w:tc>
          <w:tcPr>
            <w:tcW w:w="142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31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558" w:hRule="atLeast"/>
          <w:jc w:val="center"/>
        </w:trPr>
        <w:tc>
          <w:tcPr>
            <w:tcW w:w="2775" w:type="dxa"/>
            <w:tcBorders>
              <w:top w:val="nil"/>
              <w:left w:val="single" w:color="auto" w:sz="4" w:space="0"/>
              <w:bottom w:val="single" w:color="auto" w:sz="4" w:space="0"/>
              <w:right w:val="single" w:color="auto" w:sz="4" w:space="0"/>
            </w:tcBorders>
            <w:noWrap w:val="0"/>
            <w:vAlign w:val="center"/>
          </w:tcPr>
          <w:p>
            <w:pPr>
              <w:widowControl/>
              <w:jc w:val="left"/>
              <w:rPr>
                <w:rFonts w:hint="eastAsia" w:ascii="宋体" w:hAnsi="宋体" w:cs="宋体"/>
                <w:kern w:val="0"/>
                <w:sz w:val="22"/>
              </w:rPr>
            </w:pPr>
          </w:p>
        </w:tc>
        <w:tc>
          <w:tcPr>
            <w:tcW w:w="142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rPr>
            </w:pPr>
          </w:p>
        </w:tc>
        <w:tc>
          <w:tcPr>
            <w:tcW w:w="31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r>
        <w:tblPrEx>
          <w:tblCellMar>
            <w:top w:w="0" w:type="dxa"/>
            <w:left w:w="108" w:type="dxa"/>
            <w:bottom w:w="0" w:type="dxa"/>
            <w:right w:w="108" w:type="dxa"/>
          </w:tblCellMar>
        </w:tblPrEx>
        <w:trPr>
          <w:trHeight w:val="526" w:hRule="atLeast"/>
          <w:jc w:val="center"/>
        </w:trPr>
        <w:tc>
          <w:tcPr>
            <w:tcW w:w="277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2"/>
              </w:rPr>
            </w:pPr>
          </w:p>
        </w:tc>
        <w:tc>
          <w:tcPr>
            <w:tcW w:w="142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c>
          <w:tcPr>
            <w:tcW w:w="310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rPr>
            </w:pPr>
          </w:p>
        </w:tc>
      </w:tr>
    </w:tbl>
    <w:p>
      <w:pPr>
        <w:spacing w:line="580" w:lineRule="exact"/>
        <w:rPr>
          <w:rFonts w:hint="eastAsia" w:ascii="仿宋_GB2312" w:hAnsi="黑体" w:eastAsia="仿宋_GB2312" w:cs="Times New Roman"/>
          <w:sz w:val="32"/>
          <w:szCs w:val="32"/>
        </w:rPr>
      </w:pPr>
      <w:r>
        <w:rPr>
          <w:rFonts w:hint="eastAsia" w:ascii="仿宋_GB2312" w:hAnsi="黑体" w:eastAsia="仿宋_GB2312" w:cs="Times New Roman"/>
          <w:sz w:val="32"/>
          <w:szCs w:val="32"/>
        </w:rPr>
        <w:t xml:space="preserve">     </w:t>
      </w:r>
    </w:p>
    <w:p>
      <w:pPr>
        <w:spacing w:line="580" w:lineRule="exact"/>
        <w:outlineLvl w:val="0"/>
        <w:rPr>
          <w:rFonts w:hint="eastAsia" w:ascii="黑体" w:hAnsi="黑体" w:eastAsia="黑体"/>
          <w:bCs/>
          <w:sz w:val="32"/>
          <w:szCs w:val="32"/>
        </w:rPr>
      </w:pPr>
      <w:bookmarkStart w:id="22" w:name="_Toc30209"/>
      <w:r>
        <w:rPr>
          <w:rFonts w:hint="eastAsia" w:ascii="黑体" w:hAnsi="黑体" w:eastAsia="黑体"/>
          <w:bCs/>
          <w:sz w:val="32"/>
          <w:szCs w:val="32"/>
        </w:rPr>
        <w:t>八、名词解释</w:t>
      </w:r>
      <w:bookmarkEnd w:id="22"/>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1、一般公共预算拨款收入：指中央或省区财政当年拨付的资金，包含一般公共预算财政拨款和政府性基金预算财政拨款。</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2、其他收入：指除上述“财政拨款收入”、“事业收入”、“经营收入”等以外的收入。</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3、基本支出：指为保障机构正常运转、完成日常工作任务而发生的人员支出和公用支出。</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4、项目支出：指在基本支出之外为完成特定行政任务和事业发展目标所发生的支出。</w:t>
      </w:r>
    </w:p>
    <w:p>
      <w:pPr>
        <w:spacing w:line="58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5、“三公”经费：纳入财政预决算管理的“三公”经费，是指单位用财政拨款安排的因公出国（境）费、公务用车购置及运行费和公务接待费。其中，因公出国（境）费反映单位公务出国（境）的国际旅费、国外城区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80" w:lineRule="exact"/>
        <w:ind w:firstLine="560"/>
        <w:rPr>
          <w:rFonts w:hint="eastAsia" w:ascii="仿宋_GB2312" w:hAnsi="仿宋" w:eastAsia="仿宋_GB2312"/>
          <w:sz w:val="32"/>
          <w:szCs w:val="32"/>
        </w:rPr>
      </w:pPr>
      <w:r>
        <w:rPr>
          <w:rFonts w:hint="eastAsia" w:ascii="仿宋_GB2312" w:hAnsi="仿宋" w:eastAsia="仿宋_GB2312"/>
          <w:sz w:val="32"/>
          <w:szCs w:val="32"/>
        </w:rPr>
        <w:t>6、机关运行经费：为保障行政单位（含参照公务员法管理的事业单位）运行用于购买货物和服务的各项资金，2021年度的统计口径为行政机关的日常公用经费，包括办公及印刷费、邮电费、差旅费、会议费、福利费、日常维修费、专用材料及一般设备购置费、办公用房水电费、办公用房取暖费、办公用房物业管理费、公务用车运行维护费以及其他费用。</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7、事业收入：指中央和地方各部门所属事业单位的业务收入上缴国家预算的资金。</w:t>
      </w:r>
    </w:p>
    <w:p>
      <w:pPr>
        <w:spacing w:line="580" w:lineRule="exact"/>
        <w:ind w:firstLine="560"/>
        <w:rPr>
          <w:rFonts w:hint="eastAsia" w:ascii="仿宋_GB2312" w:hAnsi="仿宋" w:eastAsia="仿宋_GB2312"/>
          <w:sz w:val="32"/>
          <w:szCs w:val="32"/>
        </w:rPr>
      </w:pPr>
      <w:r>
        <w:rPr>
          <w:rFonts w:hint="eastAsia" w:ascii="仿宋_GB2312" w:hAnsi="仿宋" w:eastAsia="仿宋_GB2312"/>
          <w:sz w:val="32"/>
          <w:szCs w:val="32"/>
        </w:rPr>
        <w:t>8、上缴上级支出：实行收入上缴办法的事业单位按规定的定额或者比例上缴上级单位的支出。</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9、上年结转：指把本会计年度末的余额转到下个会计年度。</w:t>
      </w:r>
    </w:p>
    <w:p>
      <w:pPr>
        <w:spacing w:line="580" w:lineRule="exact"/>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10、其他交通费用：填列单位除公务用车运行维护费以外的其他交通费用。如飞机、船舶等的燃料费、维修费、过桥过路费、保险费、出租车费用、公务交通补贴等。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11、其他资本性支出：填列由各级非发展与改革部门集中安排的用于购置固定资产、战备性和应急性储备、土地和无形资产，以及购建基础设施、大型修缮和财政支持企业更新改造所发生的支出。</w:t>
      </w:r>
    </w:p>
    <w:p>
      <w:pPr>
        <w:spacing w:line="580" w:lineRule="exact"/>
        <w:ind w:firstLine="640" w:firstLineChars="200"/>
        <w:jc w:val="left"/>
        <w:outlineLvl w:val="0"/>
        <w:rPr>
          <w:rFonts w:hint="eastAsia" w:ascii="黑体" w:hAnsi="黑体" w:eastAsia="黑体"/>
          <w:bCs/>
          <w:sz w:val="32"/>
          <w:szCs w:val="32"/>
        </w:rPr>
      </w:pPr>
      <w:bookmarkStart w:id="23" w:name="_Toc1207"/>
      <w:r>
        <w:rPr>
          <w:rFonts w:hint="eastAsia" w:ascii="黑体" w:hAnsi="黑体" w:eastAsia="黑体"/>
          <w:bCs/>
          <w:sz w:val="32"/>
          <w:szCs w:val="32"/>
        </w:rPr>
        <w:t>九、其他需要说明的事项</w:t>
      </w:r>
      <w:bookmarkEnd w:id="23"/>
    </w:p>
    <w:p>
      <w:pPr>
        <w:spacing w:line="580" w:lineRule="exact"/>
        <w:ind w:firstLine="630"/>
        <w:rPr>
          <w:rFonts w:hint="eastAsia" w:ascii="仿宋_GB2312" w:hAnsi="Times New Roman" w:eastAsia="仿宋_GB2312"/>
          <w:kern w:val="0"/>
          <w:sz w:val="32"/>
          <w:szCs w:val="32"/>
        </w:rPr>
      </w:pPr>
      <w:r>
        <w:rPr>
          <w:rFonts w:hint="eastAsia" w:ascii="仿宋_GB2312" w:hAnsi="Times New Roman" w:eastAsia="仿宋_GB2312"/>
          <w:kern w:val="0"/>
          <w:sz w:val="32"/>
          <w:szCs w:val="32"/>
        </w:rPr>
        <w:t>本部门无其他需要说明的事项。</w:t>
      </w:r>
    </w:p>
    <w:p>
      <w:pPr>
        <w:spacing w:line="580" w:lineRule="exact"/>
        <w:ind w:firstLine="630"/>
        <w:outlineLvl w:val="0"/>
        <w:rPr>
          <w:rFonts w:hint="eastAsia" w:ascii="黑体" w:hAnsi="黑体" w:eastAsia="黑体"/>
          <w:sz w:val="32"/>
          <w:szCs w:val="32"/>
        </w:rPr>
      </w:pPr>
      <w:bookmarkStart w:id="24" w:name="_Toc4789"/>
      <w:r>
        <w:rPr>
          <w:rFonts w:hint="eastAsia" w:ascii="黑体" w:hAnsi="黑体" w:eastAsia="黑体"/>
          <w:sz w:val="32"/>
          <w:szCs w:val="32"/>
        </w:rPr>
        <w:t>十、预算批准日为2021年2月3日，批复文件文号为承双财预［2021］18号。</w:t>
      </w:r>
      <w:bookmarkEnd w:id="24"/>
    </w:p>
    <w:p>
      <w:pPr>
        <w:spacing w:beforeLines="0" w:afterLines="0" w:line="580" w:lineRule="exact"/>
        <w:ind w:firstLine="640" w:firstLineChars="200"/>
        <w:rPr>
          <w:rFonts w:hint="eastAsia" w:ascii="仿宋_GB2312" w:hAnsi="Times New Roman" w:eastAsia="仿宋_GB2312" w:cs="方正仿宋_GBK"/>
          <w:sz w:val="32"/>
          <w:szCs w:val="32"/>
        </w:rPr>
      </w:pPr>
    </w:p>
    <w:p/>
    <w:p/>
    <w:p/>
    <w:p>
      <w:pPr>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宋体-方正超大字符集">
    <w:altName w:val="宋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13</w:t>
    </w:r>
    <w:r>
      <w:fldChar w:fldCharType="end"/>
    </w: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60" w:lineRule="auto"/>
        <w:ind w:firstLine="420"/>
      </w:pPr>
      <w:r>
        <w:separator/>
      </w:r>
    </w:p>
  </w:footnote>
  <w:footnote w:type="continuationSeparator" w:id="1">
    <w:p>
      <w:pPr>
        <w:spacing w:line="60" w:lineRule="auto"/>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818F2D"/>
    <w:multiLevelType w:val="singleLevel"/>
    <w:tmpl w:val="58818F2D"/>
    <w:lvl w:ilvl="0" w:tentative="0">
      <w:start w:val="2"/>
      <w:numFmt w:val="decimal"/>
      <w:suff w:val="nothing"/>
      <w:lvlText w:val="%1、"/>
      <w:lvlJc w:val="left"/>
    </w:lvl>
  </w:abstractNum>
  <w:abstractNum w:abstractNumId="1">
    <w:nsid w:val="5AA74007"/>
    <w:multiLevelType w:val="singleLevel"/>
    <w:tmpl w:val="5AA74007"/>
    <w:lvl w:ilvl="0" w:tentative="0">
      <w:start w:val="1"/>
      <w:numFmt w:val="chineseCounting"/>
      <w:suff w:val="nothing"/>
      <w:lvlText w:val="%1、"/>
      <w:lvlJc w:val="left"/>
    </w:lvl>
  </w:abstractNum>
  <w:abstractNum w:abstractNumId="2">
    <w:nsid w:val="5AA74922"/>
    <w:multiLevelType w:val="singleLevel"/>
    <w:tmpl w:val="5AA74922"/>
    <w:lvl w:ilvl="0" w:tentative="0">
      <w:start w:val="3"/>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iMDhkNTVlMTY2ZGI0ODNmOTI4NDYzYWM1N2ZjZDEifQ=="/>
  </w:docVars>
  <w:rsids>
    <w:rsidRoot w:val="3F672832"/>
    <w:rsid w:val="3F672832"/>
    <w:rsid w:val="5B023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 w:lineRule="auto"/>
      <w:ind w:firstLine="200" w:firstLineChars="20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pPr>
    <w:rPr>
      <w:b/>
      <w:bCs/>
      <w:color w:val="000000"/>
      <w:szCs w:val="28"/>
      <w:lang w:val="zh-CN"/>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toc 1"/>
    <w:basedOn w:val="1"/>
    <w:next w:val="1"/>
    <w:semiHidden/>
    <w:unhideWhenUsed/>
    <w:qFormat/>
    <w:uiPriority w:val="39"/>
  </w:style>
  <w:style w:type="character" w:styleId="7">
    <w:name w:val="page number"/>
    <w:basedOn w:val="6"/>
    <w:unhideWhenUsed/>
    <w:qFormat/>
    <w:uiPriority w:val="99"/>
  </w:style>
  <w:style w:type="character" w:styleId="8">
    <w:name w:val="Hyperlink"/>
    <w:basedOn w:val="6"/>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8333</Words>
  <Characters>9792</Characters>
  <Lines>0</Lines>
  <Paragraphs>0</Paragraphs>
  <TotalTime>6</TotalTime>
  <ScaleCrop>false</ScaleCrop>
  <LinksUpToDate>false</LinksUpToDate>
  <CharactersWithSpaces>9874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2022-09-16T09:17:00Z</dcterms:created>
  <dc:creator>Administrator</dc:creator>
  <cp:lastModifiedBy>Administrator</cp:lastModifiedBy>
  <dcterms:modified xsi:type="dcterms:W3CDTF">2022-09-16T10:26:55Z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F6BCE4365C864FD8AD684D80EAB8922D</vt:lpwstr>
  </property>
</Properties>
</file>