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8B1049" w:rsidP="008B1049">
      <w:pPr>
        <w:spacing w:line="554" w:lineRule="exact"/>
        <w:ind w:firstLine="660" w:firstLineChars="150"/>
        <w:jc w:val="center"/>
        <w:rPr>
          <w:rFonts w:ascii="方正小标宋简体" w:eastAsia="方正小标宋简体" w:hAnsi="华文中宋" w:hint="eastAsia"/>
          <w:sz w:val="44"/>
          <w:szCs w:val="44"/>
        </w:rPr>
      </w:pPr>
      <w:r w:rsidRPr="0094461C">
        <w:rPr>
          <w:rFonts w:ascii="方正小标宋简体" w:eastAsia="方正小标宋简体" w:hAnsi="华文中宋" w:hint="eastAsia"/>
          <w:sz w:val="44"/>
          <w:szCs w:val="44"/>
        </w:rPr>
        <w:t>关于双桥区2021年</w:t>
      </w:r>
    </w:p>
    <w:p w:rsidR="00B23D3B" w:rsidP="008B1049">
      <w:pPr>
        <w:spacing w:line="554" w:lineRule="exact"/>
        <w:ind w:firstLine="660" w:firstLineChars="150"/>
        <w:jc w:val="center"/>
        <w:rPr>
          <w:rFonts w:ascii="方正小标宋简体" w:eastAsia="方正小标宋简体" w:hAnsi="华文中宋"/>
          <w:sz w:val="44"/>
          <w:szCs w:val="44"/>
        </w:rPr>
      </w:pPr>
      <w:r w:rsidRPr="0094461C">
        <w:rPr>
          <w:rFonts w:ascii="方正小标宋简体" w:eastAsia="方正小标宋简体" w:hAnsi="华文中宋" w:hint="eastAsia"/>
          <w:sz w:val="44"/>
          <w:szCs w:val="44"/>
        </w:rPr>
        <w:t>财政预算执行情况和2022年财政预算</w:t>
      </w:r>
      <w:r>
        <w:rPr>
          <w:rFonts w:ascii="方正小标宋简体" w:eastAsia="方正小标宋简体" w:hAnsi="华文中宋" w:hint="eastAsia"/>
          <w:sz w:val="44"/>
          <w:szCs w:val="44"/>
        </w:rPr>
        <w:t>（</w:t>
      </w:r>
      <w:r w:rsidRPr="0094461C">
        <w:rPr>
          <w:rFonts w:ascii="方正小标宋简体" w:eastAsia="方正小标宋简体" w:hAnsi="华文中宋" w:hint="eastAsia"/>
          <w:sz w:val="44"/>
          <w:szCs w:val="44"/>
        </w:rPr>
        <w:t>草案</w:t>
      </w:r>
      <w:r>
        <w:rPr>
          <w:rFonts w:ascii="方正小标宋简体" w:eastAsia="方正小标宋简体" w:hAnsi="华文中宋" w:hint="eastAsia"/>
          <w:sz w:val="44"/>
          <w:szCs w:val="44"/>
        </w:rPr>
        <w:t>）</w:t>
      </w:r>
      <w:r w:rsidRPr="0094461C">
        <w:rPr>
          <w:rFonts w:ascii="方正小标宋简体" w:eastAsia="方正小标宋简体" w:hAnsi="华文中宋" w:hint="eastAsia"/>
          <w:sz w:val="44"/>
          <w:szCs w:val="44"/>
        </w:rPr>
        <w:t>的报告</w:t>
      </w:r>
    </w:p>
    <w:p w:rsidR="008B1049" w:rsidP="008B1049">
      <w:pPr>
        <w:spacing w:line="520" w:lineRule="exact"/>
        <w:jc w:val="center"/>
        <w:rPr>
          <w:rFonts w:ascii="仿宋_GB2312" w:eastAsia="仿宋_GB2312" w:hAnsi="仿宋" w:hint="eastAsia"/>
          <w:b/>
          <w:sz w:val="32"/>
          <w:szCs w:val="32"/>
        </w:rPr>
      </w:pPr>
    </w:p>
    <w:p w:rsidR="00B23D3B" w:rsidP="008B1049">
      <w:pPr>
        <w:spacing w:line="520" w:lineRule="exact"/>
        <w:jc w:val="center"/>
        <w:rPr>
          <w:rFonts w:ascii="仿宋_GB2312" w:eastAsia="仿宋_GB2312" w:hAnsi="仿宋"/>
          <w:b/>
          <w:sz w:val="32"/>
          <w:szCs w:val="32"/>
        </w:rPr>
      </w:pPr>
      <w:r>
        <w:rPr>
          <w:rFonts w:ascii="仿宋_GB2312" w:eastAsia="仿宋_GB2312" w:hAnsi="仿宋" w:hint="eastAsia"/>
          <w:b/>
          <w:sz w:val="32"/>
          <w:szCs w:val="32"/>
        </w:rPr>
        <w:t>双桥区财政局局长   揣艳敏</w:t>
      </w:r>
    </w:p>
    <w:p w:rsidR="00B23D3B" w:rsidRPr="008B1049" w:rsidP="008B1049">
      <w:pPr>
        <w:spacing w:line="520" w:lineRule="exact"/>
        <w:rPr>
          <w:rFonts w:ascii="仿宋_GB2312" w:eastAsia="仿宋_GB2312" w:hAnsi="仿宋"/>
          <w:b/>
          <w:sz w:val="32"/>
          <w:szCs w:val="32"/>
        </w:rPr>
      </w:pPr>
      <w:r>
        <w:rPr>
          <w:rFonts w:ascii="仿宋_GB2312" w:eastAsia="仿宋_GB2312" w:hAnsi="仿宋" w:hint="eastAsia"/>
          <w:b/>
          <w:sz w:val="32"/>
          <w:szCs w:val="32"/>
        </w:rPr>
        <w:t>各位代表：</w:t>
      </w:r>
    </w:p>
    <w:p w:rsidR="00B23D3B" w:rsidP="00B23D3B">
      <w:pPr>
        <w:spacing w:line="554" w:lineRule="exact"/>
        <w:ind w:firstLine="640" w:firstLineChars="200"/>
        <w:rPr>
          <w:rFonts w:ascii="仿宋_GB2312" w:eastAsia="仿宋_GB2312" w:hAnsi="仿宋"/>
          <w:sz w:val="32"/>
          <w:szCs w:val="32"/>
        </w:rPr>
      </w:pPr>
      <w:r>
        <w:rPr>
          <w:rFonts w:ascii="仿宋_GB2312" w:eastAsia="仿宋_GB2312" w:hAnsi="仿宋" w:hint="eastAsia"/>
          <w:sz w:val="32"/>
          <w:szCs w:val="32"/>
        </w:rPr>
        <w:t>受区政府委托，我向大会提交2021年财政预算执行情况和2022年财政预算（草案）的报告，请予审议，并请区政协各位委员和其他列席人员提出意见。</w:t>
      </w:r>
    </w:p>
    <w:p w:rsidR="00B23D3B" w:rsidP="00B23D3B">
      <w:pPr>
        <w:spacing w:line="554" w:lineRule="exact"/>
        <w:ind w:firstLine="640" w:firstLineChars="200"/>
        <w:rPr>
          <w:rFonts w:ascii="黑体" w:eastAsia="黑体" w:hAnsi="黑体"/>
          <w:sz w:val="32"/>
          <w:szCs w:val="32"/>
        </w:rPr>
      </w:pPr>
      <w:r>
        <w:rPr>
          <w:rFonts w:ascii="黑体" w:eastAsia="黑体" w:hAnsi="黑体" w:hint="eastAsia"/>
          <w:sz w:val="32"/>
          <w:szCs w:val="32"/>
        </w:rPr>
        <w:t>一、2021年财政预算执行情况</w:t>
      </w:r>
    </w:p>
    <w:p w:rsidR="00B23D3B" w:rsidP="00B23D3B">
      <w:pPr>
        <w:spacing w:line="554" w:lineRule="exact"/>
        <w:ind w:firstLine="640" w:firstLineChars="200"/>
        <w:rPr>
          <w:rFonts w:ascii="仿宋_GB2312" w:eastAsia="仿宋_GB2312" w:hAnsi="仿宋"/>
          <w:sz w:val="32"/>
          <w:szCs w:val="32"/>
        </w:rPr>
      </w:pPr>
      <w:r>
        <w:rPr>
          <w:rFonts w:ascii="仿宋_GB2312" w:eastAsia="仿宋_GB2312" w:hAnsi="仿宋" w:cs="宋体" w:hint="eastAsia"/>
          <w:sz w:val="32"/>
          <w:szCs w:val="32"/>
        </w:rPr>
        <w:t>2021年</w:t>
      </w:r>
      <w:r>
        <w:rPr>
          <w:rFonts w:ascii="仿宋_GB2312" w:eastAsia="仿宋_GB2312" w:hAnsi="黑体" w:cs="宋体" w:hint="eastAsia"/>
          <w:color w:val="000000"/>
          <w:sz w:val="32"/>
          <w:szCs w:val="32"/>
        </w:rPr>
        <w:t>是“十四五”开局之年，</w:t>
      </w:r>
      <w:r>
        <w:rPr>
          <w:rFonts w:ascii="仿宋_GB2312" w:eastAsia="仿宋_GB2312" w:hAnsi="仿宋" w:hint="eastAsia"/>
          <w:sz w:val="32"/>
          <w:szCs w:val="32"/>
        </w:rPr>
        <w:t>全区财税部门在区委的正确领导下，</w:t>
      </w:r>
      <w:r>
        <w:rPr>
          <w:rFonts w:ascii="仿宋_GB2312" w:eastAsia="仿宋_GB2312" w:hAnsi="仿宋" w:cs="宋体" w:hint="eastAsia"/>
          <w:sz w:val="32"/>
          <w:szCs w:val="32"/>
        </w:rPr>
        <w:t>坚持以习近平</w:t>
      </w:r>
      <w:r>
        <w:rPr>
          <w:rFonts w:ascii="仿宋_GB2312" w:eastAsia="仿宋_GB2312" w:hAnsi="仿宋" w:hint="eastAsia"/>
          <w:sz w:val="32"/>
          <w:szCs w:val="32"/>
        </w:rPr>
        <w:t>新时代中国特色社会主义经济思想为统领</w:t>
      </w:r>
      <w:r>
        <w:rPr>
          <w:rFonts w:ascii="仿宋_GB2312" w:eastAsia="仿宋_GB2312" w:hAnsi="仿宋" w:cs="宋体" w:hint="eastAsia"/>
          <w:sz w:val="32"/>
          <w:szCs w:val="32"/>
        </w:rPr>
        <w:t>，认真贯彻执行中央、省、市各项决策部署，坚持新发展理念，努力克服新冠肺炎疫情带来的不利影响，做好“六稳”工作，落实“六保”任务，加强执行管理，主动加压、负重奋进，有力推动了全区经济社会持续健康发展。</w:t>
      </w:r>
    </w:p>
    <w:p w:rsidR="00B23D3B" w:rsidP="00B23D3B">
      <w:pPr>
        <w:spacing w:line="554"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（一）着力优化财政收支，确保财政运行平稳</w:t>
      </w:r>
    </w:p>
    <w:p w:rsidR="00B23D3B" w:rsidP="00B23D3B">
      <w:pPr>
        <w:spacing w:line="554" w:lineRule="exact"/>
        <w:ind w:firstLine="640" w:firstLineChars="200"/>
        <w:rPr>
          <w:rFonts w:eastAsia="楷体_GB2312"/>
          <w:b/>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树牢“保收入就是保大局”意识，财税部门紧密配合，密切监测宏观经济运行及重点行业市场变化，加强对财政收入形势的分析研判，加强税收与非税征缴力度，牢牢掌握组织收入工作的主动权。</w:t>
      </w:r>
      <w:r>
        <w:rPr>
          <w:rFonts w:ascii="仿宋_GB2312" w:eastAsia="仿宋_GB2312" w:hint="eastAsia"/>
          <w:bCs/>
          <w:sz w:val="32"/>
          <w:szCs w:val="32"/>
        </w:rPr>
        <w:t>顺利</w:t>
      </w:r>
      <w:r>
        <w:rPr>
          <w:rFonts w:ascii="仿宋_GB2312" w:eastAsia="仿宋_GB2312" w:hAnsi="仿宋_GB2312" w:cs="仿宋_GB2312" w:hint="eastAsia"/>
          <w:sz w:val="32"/>
          <w:szCs w:val="32"/>
        </w:rPr>
        <w:t>实现</w:t>
      </w:r>
      <w:r>
        <w:rPr>
          <w:rFonts w:ascii="仿宋_GB2312" w:eastAsia="仿宋_GB2312" w:hAnsi="仿宋_GB2312" w:cs="仿宋_GB2312" w:hint="eastAsia"/>
          <w:bCs/>
          <w:sz w:val="32"/>
          <w:szCs w:val="32"/>
        </w:rPr>
        <w:t>半年“</w:t>
      </w:r>
      <w:r>
        <w:rPr>
          <w:rFonts w:ascii="仿宋_GB2312" w:eastAsia="仿宋_GB2312" w:hAnsi="仿宋_GB2312" w:cs="仿宋_GB2312" w:hint="eastAsia"/>
          <w:sz w:val="32"/>
          <w:szCs w:val="32"/>
        </w:rPr>
        <w:t>双过半”</w:t>
      </w:r>
      <w:r>
        <w:rPr>
          <w:rFonts w:ascii="仿宋_GB2312" w:eastAsia="仿宋_GB2312" w:hAnsi="仿宋_GB2312" w:cs="仿宋_GB2312" w:hint="eastAsia"/>
          <w:sz w:val="32"/>
          <w:szCs w:val="32"/>
        </w:rPr>
        <w:t>等工作</w:t>
      </w:r>
      <w:r>
        <w:rPr>
          <w:rFonts w:ascii="仿宋_GB2312" w:eastAsia="仿宋_GB2312" w:hAnsi="宋体" w:hint="eastAsia"/>
          <w:bCs/>
          <w:sz w:val="32"/>
          <w:szCs w:val="32"/>
        </w:rPr>
        <w:t>目</w:t>
      </w:r>
      <w:r>
        <w:rPr>
          <w:rFonts w:ascii="仿宋_GB2312" w:eastAsia="仿宋_GB2312" w:hAnsi="仿宋_GB2312" w:cs="仿宋_GB2312" w:hint="eastAsia"/>
          <w:sz w:val="32"/>
          <w:szCs w:val="32"/>
        </w:rPr>
        <w:t>标，</w:t>
      </w:r>
      <w:r>
        <w:rPr>
          <w:rFonts w:ascii="仿宋_GB2312" w:eastAsia="仿宋_GB2312" w:hint="eastAsia"/>
          <w:bCs/>
          <w:sz w:val="32"/>
          <w:szCs w:val="32"/>
        </w:rPr>
        <w:t>全年</w:t>
      </w:r>
      <w:r>
        <w:rPr>
          <w:rFonts w:ascii="仿宋_GB2312" w:eastAsia="仿宋_GB2312" w:hAnsi="仿宋" w:hint="eastAsia"/>
          <w:color w:val="000000"/>
          <w:sz w:val="32"/>
          <w:szCs w:val="32"/>
        </w:rPr>
        <w:t>公共预算</w:t>
      </w:r>
      <w:r>
        <w:rPr>
          <w:rFonts w:ascii="仿宋_GB2312" w:eastAsia="仿宋_GB2312" w:hAnsi="仿宋" w:hint="eastAsia"/>
          <w:bCs/>
          <w:color w:val="000000"/>
          <w:sz w:val="32"/>
          <w:szCs w:val="32"/>
        </w:rPr>
        <w:t>收入实现152678万元，完成调整预算的101.4%</w:t>
      </w:r>
      <w:r>
        <w:rPr>
          <w:rFonts w:ascii="仿宋_GB2312" w:eastAsia="仿宋_GB2312" w:hint="eastAsia"/>
          <w:bCs/>
          <w:sz w:val="32"/>
          <w:szCs w:val="32"/>
        </w:rPr>
        <w:t>，同比增长6.5%，收入规模持续</w:t>
      </w:r>
      <w:r>
        <w:rPr>
          <w:rFonts w:ascii="仿宋_GB2312" w:eastAsia="仿宋_GB2312" w:hAnsi="宋体" w:hint="eastAsia"/>
          <w:bCs/>
          <w:sz w:val="32"/>
          <w:szCs w:val="32"/>
        </w:rPr>
        <w:t>稳居全市第一位</w:t>
      </w:r>
      <w:r>
        <w:rPr>
          <w:rFonts w:ascii="仿宋_GB2312" w:eastAsia="仿宋_GB2312" w:hAnsi="仿宋" w:cs="仿宋_GB2312" w:hint="eastAsia"/>
          <w:color w:val="000000"/>
          <w:sz w:val="32"/>
          <w:szCs w:val="32"/>
        </w:rPr>
        <w:t>。</w:t>
      </w:r>
      <w:r>
        <w:rPr>
          <w:rFonts w:ascii="仿宋_GB2312" w:eastAsia="仿宋_GB2312" w:hAnsi="仿宋" w:hint="eastAsia"/>
          <w:color w:val="000000" w:themeColor="text1"/>
          <w:sz w:val="32"/>
          <w:szCs w:val="32"/>
        </w:rPr>
        <w:t>全区政府性基金收入完成7700万元，完成调整预算的110%。全区国有资本经营收入完成120万元（全部为转移支付收入）。</w:t>
      </w:r>
      <w:r>
        <w:rPr>
          <w:rFonts w:ascii="仿宋_GB2312" w:eastAsia="仿宋_GB2312" w:hAnsi="仿宋" w:hint="eastAsia"/>
          <w:sz w:val="32"/>
          <w:szCs w:val="32"/>
        </w:rPr>
        <w:t>全区社保基金收入完成95482万元，完成调整预算的102%。</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紧紧围绕财政支出提质增效，持续调整优化支出结构，加快重点领域支出，确保有限的财政资金全部用到“刀刃上”，全力保障党委政府的重大决策部署落地落实，全区一般公共预算支出完成139465万元，占调整预算的82.5%，同比下降15.8%。政府性基金预算支出完成40617万元，占调整预算的34.7%，同比增长39.3%。国有资本经营预算支出完成68万元，占预算的53.5%，同比下降93.3%。社保基金预算支出完成89930万元，同比增长1.9%。</w:t>
      </w:r>
    </w:p>
    <w:p w:rsidR="00B23D3B" w:rsidP="00B23D3B">
      <w:pPr>
        <w:spacing w:line="554" w:lineRule="exact"/>
        <w:ind w:firstLine="640" w:firstLineChars="200"/>
        <w:rPr>
          <w:rFonts w:ascii="楷体_GB2312" w:eastAsia="楷体_GB2312" w:hAnsi="仿宋"/>
          <w:b/>
          <w:sz w:val="32"/>
          <w:szCs w:val="32"/>
        </w:rPr>
      </w:pPr>
      <w:r>
        <w:rPr>
          <w:rFonts w:ascii="楷体_GB2312" w:eastAsia="楷体_GB2312" w:hAnsi="仿宋" w:hint="eastAsia"/>
          <w:b/>
          <w:sz w:val="32"/>
          <w:szCs w:val="32"/>
        </w:rPr>
        <w:t>（二）着力兜牢“三保”底线，保障全区稳定运转</w:t>
      </w:r>
    </w:p>
    <w:p w:rsidR="00B23D3B" w:rsidP="00B23D3B">
      <w:pPr>
        <w:spacing w:line="554" w:lineRule="exact"/>
        <w:ind w:firstLine="800" w:firstLineChars="250"/>
        <w:rPr>
          <w:rFonts w:ascii="仿宋_GB2312" w:eastAsia="仿宋_GB2312" w:hAnsi="仿宋"/>
          <w:color w:val="000000"/>
          <w:sz w:val="32"/>
          <w:szCs w:val="32"/>
        </w:rPr>
      </w:pPr>
      <w:r>
        <w:rPr>
          <w:rFonts w:ascii="仿宋_GB2312" w:eastAsia="仿宋_GB2312" w:hAnsi="仿宋" w:hint="eastAsia"/>
          <w:sz w:val="32"/>
          <w:szCs w:val="32"/>
        </w:rPr>
        <w:t>努力调整支出结构，着力保障人民群众、干部职工最关心、最直接、最现实的利益问题，坚决兜牢“三保”底线。在收入压力巨大的情况下，财政部门多方筹集和调度资金，足额保障全区人员工资、运转、基本民生支出，公教人员各项支出全额拨付到位。全年民生支出累计实现</w:t>
      </w:r>
      <w:r>
        <w:rPr>
          <w:rFonts w:ascii="仿宋_GB2312" w:eastAsia="仿宋_GB2312" w:hAnsi="仿宋" w:hint="eastAsia"/>
          <w:color w:val="000000" w:themeColor="text1"/>
          <w:sz w:val="32"/>
          <w:szCs w:val="32"/>
        </w:rPr>
        <w:t>120410</w:t>
      </w:r>
      <w:r>
        <w:rPr>
          <w:rFonts w:ascii="仿宋_GB2312" w:eastAsia="仿宋_GB2312" w:hAnsi="仿宋" w:hint="eastAsia"/>
          <w:sz w:val="32"/>
          <w:szCs w:val="32"/>
        </w:rPr>
        <w:t>万元，占全部公共预算支出</w:t>
      </w:r>
      <w:r>
        <w:rPr>
          <w:rFonts w:ascii="仿宋_GB2312" w:eastAsia="仿宋_GB2312" w:hAnsi="仿宋" w:hint="eastAsia"/>
          <w:color w:val="000000" w:themeColor="text1"/>
          <w:sz w:val="32"/>
          <w:szCs w:val="32"/>
        </w:rPr>
        <w:t>的86.3%。</w:t>
      </w:r>
    </w:p>
    <w:p w:rsidR="00B23D3B" w:rsidP="00B23D3B">
      <w:pPr>
        <w:spacing w:line="554" w:lineRule="exact"/>
        <w:ind w:firstLine="640" w:firstLineChars="200"/>
        <w:rPr>
          <w:rFonts w:ascii="仿宋_GB2312" w:eastAsia="仿宋_GB2312" w:hAnsi="仿宋"/>
          <w:color w:val="000000"/>
          <w:sz w:val="32"/>
          <w:szCs w:val="32"/>
        </w:rPr>
      </w:pPr>
      <w:r>
        <w:rPr>
          <w:rFonts w:ascii="仿宋_GB2312" w:eastAsia="仿宋_GB2312" w:hAnsi="仿宋" w:hint="eastAsia"/>
          <w:b/>
          <w:sz w:val="32"/>
          <w:szCs w:val="32"/>
        </w:rPr>
        <w:t>1.足额保障全区公教人员工资性支出。</w:t>
      </w:r>
      <w:r>
        <w:rPr>
          <w:rFonts w:ascii="仿宋_GB2312" w:eastAsia="仿宋_GB2312" w:hAnsi="仿宋_GB2312" w:cs="仿宋_GB2312" w:hint="eastAsia"/>
          <w:color w:val="000000"/>
          <w:sz w:val="32"/>
          <w:szCs w:val="32"/>
        </w:rPr>
        <w:t>为了确保公教人员工资和津补贴及时发放到位，多方筹集资金优先用于工资性支出</w:t>
      </w:r>
      <w:r>
        <w:rPr>
          <w:rFonts w:ascii="仿宋_GB2312" w:eastAsia="仿宋_GB2312" w:hAnsi="仿宋" w:hint="eastAsia"/>
          <w:color w:val="000000"/>
          <w:sz w:val="32"/>
          <w:szCs w:val="32"/>
        </w:rPr>
        <w:t>，较好保障了全区公教人员各项支出政策的落</w:t>
      </w:r>
      <w:r>
        <w:rPr>
          <w:rFonts w:ascii="仿宋_GB2312" w:eastAsia="仿宋_GB2312" w:hAnsi="仿宋" w:hint="eastAsia"/>
          <w:color w:val="000000"/>
          <w:sz w:val="32"/>
          <w:szCs w:val="32"/>
        </w:rPr>
        <w:t>实，全区公教人员工资性支出实现68879万元，占全部公共财政预算支出的49.3%。</w:t>
      </w:r>
    </w:p>
    <w:p w:rsidR="00B23D3B" w:rsidP="00B23D3B">
      <w:pPr>
        <w:spacing w:line="554" w:lineRule="exact"/>
        <w:ind w:firstLine="627" w:firstLineChars="196"/>
        <w:rPr>
          <w:rFonts w:ascii="仿宋_GB2312" w:eastAsia="仿宋_GB2312" w:hAnsi="仿宋"/>
          <w:color w:val="FF0000"/>
          <w:sz w:val="32"/>
          <w:szCs w:val="32"/>
        </w:rPr>
      </w:pPr>
      <w:r>
        <w:rPr>
          <w:rFonts w:ascii="仿宋_GB2312" w:eastAsia="仿宋_GB2312" w:hAnsi="仿宋" w:hint="eastAsia"/>
          <w:b/>
          <w:sz w:val="32"/>
          <w:szCs w:val="32"/>
        </w:rPr>
        <w:t>2.坚持以人民为中心全面保障民生支出。一是社会保障和就业支出27445</w:t>
      </w:r>
      <w:r>
        <w:rPr>
          <w:rFonts w:ascii="仿宋_GB2312" w:eastAsia="仿宋_GB2312" w:hAnsi="仿宋" w:hint="eastAsia"/>
          <w:sz w:val="32"/>
          <w:szCs w:val="32"/>
        </w:rPr>
        <w:t>万元，落实城乡困难群众、退役军人、城乡居民养老等民生政策执行，贯彻落实就业优先政策，加大重点群体就业帮扶，统筹就业补助、困难群众补助等各类资金，发挥保生活、防失业、促就业的功能作用，守牢社会稳定基本盘。</w:t>
      </w:r>
      <w:r>
        <w:rPr>
          <w:rFonts w:ascii="仿宋_GB2312" w:eastAsia="仿宋_GB2312" w:hAnsi="仿宋" w:hint="eastAsia"/>
          <w:b/>
          <w:sz w:val="32"/>
          <w:szCs w:val="32"/>
        </w:rPr>
        <w:t>二是发展教育事业支出27738万元，</w:t>
      </w:r>
      <w:r>
        <w:rPr>
          <w:rFonts w:ascii="仿宋_GB2312" w:eastAsia="仿宋_GB2312" w:hAnsi="仿宋" w:hint="eastAsia"/>
          <w:sz w:val="32"/>
          <w:szCs w:val="32"/>
        </w:rPr>
        <w:t>促进教育高质量发展，保障教育方面投入，充实教师队伍；</w:t>
      </w:r>
      <w:r>
        <w:rPr>
          <w:rFonts w:ascii="仿宋_GB2312" w:eastAsia="仿宋_GB2312" w:hAnsi="仿宋" w:hint="eastAsia"/>
          <w:color w:val="000000" w:themeColor="text1"/>
          <w:sz w:val="32"/>
          <w:szCs w:val="32"/>
        </w:rPr>
        <w:t>推动学前教育优质普惠发展，普惠性学前教育覆盖率达82%；</w:t>
      </w:r>
      <w:r>
        <w:rPr>
          <w:rFonts w:ascii="仿宋_GB2312" w:eastAsia="仿宋_GB2312" w:hAnsi="仿宋" w:hint="eastAsia"/>
          <w:sz w:val="32"/>
          <w:szCs w:val="32"/>
        </w:rPr>
        <w:t>推动承德市第十八中学、双峰寺第三小学、现代城小学建设；落实家庭经济困难学生资助政策，推进义务教育发展。</w:t>
      </w:r>
      <w:r>
        <w:rPr>
          <w:rFonts w:ascii="仿宋_GB2312" w:eastAsia="仿宋_GB2312" w:hAnsi="仿宋" w:hint="eastAsia"/>
          <w:b/>
          <w:color w:val="000000" w:themeColor="text1"/>
          <w:sz w:val="32"/>
          <w:szCs w:val="32"/>
        </w:rPr>
        <w:t>三是疫情防控及公共卫生支出15014万元，</w:t>
      </w:r>
      <w:r>
        <w:rPr>
          <w:rFonts w:ascii="仿宋_GB2312" w:eastAsia="仿宋_GB2312" w:hAnsi="仿宋" w:hint="eastAsia"/>
          <w:color w:val="000000" w:themeColor="text1"/>
          <w:sz w:val="32"/>
          <w:szCs w:val="32"/>
        </w:rPr>
        <w:t>继续做好疫情防控相关工作，不断巩固疫情防控稳定局面，妥善处置5起密接疫情突发事件，先后启用集中隔离点14个，流调2156人，隔离管控2513人，坚决做好疫情防护工作。助力疫苗接种，三岁以上人群首针接种率达95.85%，完成全程接种16.2万人。</w:t>
      </w:r>
      <w:r>
        <w:rPr>
          <w:rFonts w:ascii="仿宋_GB2312" w:eastAsia="仿宋_GB2312" w:hAnsi="仿宋" w:hint="eastAsia"/>
          <w:sz w:val="32"/>
          <w:szCs w:val="32"/>
        </w:rPr>
        <w:t>持续</w:t>
      </w:r>
      <w:r>
        <w:rPr>
          <w:rFonts w:ascii="仿宋_GB2312" w:eastAsia="仿宋_GB2312" w:hAnsi="仿宋" w:hint="eastAsia"/>
          <w:color w:val="000000"/>
          <w:sz w:val="32"/>
          <w:szCs w:val="32"/>
        </w:rPr>
        <w:t>推动基层医疗改革，</w:t>
      </w:r>
      <w:r>
        <w:rPr>
          <w:rFonts w:ascii="仿宋_GB2312" w:eastAsia="仿宋_GB2312" w:hAnsi="仿宋" w:hint="eastAsia"/>
          <w:sz w:val="32"/>
          <w:szCs w:val="32"/>
        </w:rPr>
        <w:t>加大</w:t>
      </w:r>
      <w:r>
        <w:rPr>
          <w:rFonts w:ascii="仿宋_GB2312" w:eastAsia="仿宋_GB2312" w:hAnsi="仿宋" w:hint="eastAsia"/>
          <w:color w:val="000000"/>
          <w:sz w:val="32"/>
          <w:szCs w:val="32"/>
        </w:rPr>
        <w:t>居民医疗保险政府配套投入，提高困难群众医疗保障水平，严格落实各项卫生计生奖励扶助、特别扶助、健康检查等政策</w:t>
      </w:r>
      <w:r>
        <w:rPr>
          <w:rFonts w:ascii="仿宋_GB2312" w:eastAsia="仿宋_GB2312" w:hAnsi="仿宋" w:hint="eastAsia"/>
          <w:sz w:val="32"/>
          <w:szCs w:val="32"/>
        </w:rPr>
        <w:t>。</w:t>
      </w:r>
      <w:r>
        <w:rPr>
          <w:rFonts w:ascii="仿宋_GB2312" w:eastAsia="仿宋_GB2312" w:hAnsi="仿宋" w:hint="eastAsia"/>
          <w:b/>
          <w:color w:val="000000" w:themeColor="text1"/>
          <w:sz w:val="32"/>
          <w:szCs w:val="32"/>
        </w:rPr>
        <w:t>四是生态环境保护及绿化支出3516万元，</w:t>
      </w:r>
      <w:r>
        <w:rPr>
          <w:rFonts w:ascii="仿宋_GB2312" w:eastAsia="仿宋_GB2312" w:hAnsi="仿宋" w:hint="eastAsia"/>
          <w:color w:val="000000" w:themeColor="text1"/>
          <w:sz w:val="32"/>
          <w:szCs w:val="32"/>
        </w:rPr>
        <w:t>全力打好“水气土”三大战役，努力以生态质量提升夯实绿色发展优势。推广清洁取暖替代1.2万多户，城市和农村实现清洁取暖全覆盖。深入实施森林质量和城区绿化提升，完成造林9100亩，</w:t>
      </w:r>
      <w:r>
        <w:rPr>
          <w:rFonts w:ascii="仿宋_GB2312" w:eastAsia="仿宋_GB2312" w:hAnsi="仿宋" w:hint="eastAsia"/>
          <w:color w:val="000000" w:themeColor="text1"/>
          <w:sz w:val="32"/>
          <w:szCs w:val="32"/>
        </w:rPr>
        <w:t>新增城市绿地10万平方米，森林覆盖率、林木绿化率分别达到46.1%和59.5%。</w:t>
      </w:r>
      <w:r>
        <w:rPr>
          <w:rFonts w:ascii="仿宋_GB2312" w:eastAsia="仿宋_GB2312" w:hAnsi="仿宋" w:hint="eastAsia"/>
          <w:b/>
          <w:color w:val="000000" w:themeColor="text1"/>
          <w:sz w:val="32"/>
          <w:szCs w:val="32"/>
        </w:rPr>
        <w:t>五是助力乡村振兴支出4322万元</w:t>
      </w:r>
      <w:r>
        <w:rPr>
          <w:rFonts w:ascii="仿宋_GB2312" w:eastAsia="仿宋_GB2312" w:hAnsi="仿宋" w:hint="eastAsia"/>
          <w:color w:val="000000" w:themeColor="text1"/>
          <w:sz w:val="32"/>
          <w:szCs w:val="32"/>
        </w:rPr>
        <w:t>，全力保障乡村振兴战略，加大乡村环境提升投入，安排资金改造农村厕所1700个，创建美丽庭院2250户，农村绿化率达到36.1%，改造提升农村公路47条，扎实做好脱贫攻坚与乡村振兴有效衔接，农业产业引导基金效益显著，全区脱贫人口纯收入达1.5万余元，同比增长13%。</w:t>
      </w:r>
      <w:r>
        <w:rPr>
          <w:rFonts w:ascii="仿宋_GB2312" w:eastAsia="仿宋_GB2312" w:hAnsi="仿宋" w:hint="eastAsia"/>
          <w:b/>
          <w:color w:val="000000" w:themeColor="text1"/>
          <w:sz w:val="32"/>
          <w:szCs w:val="32"/>
        </w:rPr>
        <w:t>六是公共安全和维稳支出21552</w:t>
      </w:r>
      <w:r>
        <w:rPr>
          <w:rFonts w:ascii="仿宋_GB2312" w:eastAsia="仿宋_GB2312" w:hAnsi="仿宋" w:hint="eastAsia"/>
          <w:color w:val="000000" w:themeColor="text1"/>
          <w:sz w:val="32"/>
          <w:szCs w:val="32"/>
        </w:rPr>
        <w:t>万元，足额保障公检法司部门的公用和办案经费，保障全区社会治安管理、治安防控体系建设，信访稳控和法律援助工作进一步加强。倾力保障消防经费，全区火灾事故发生率下降16.3%。多方协调调度资金，尽力解决百姓回迁难题，最大限度维护社会稳定。</w:t>
      </w:r>
      <w:r>
        <w:rPr>
          <w:rFonts w:ascii="仿宋_GB2312" w:eastAsia="仿宋_GB2312" w:hAnsi="仿宋" w:hint="eastAsia"/>
          <w:b/>
          <w:sz w:val="32"/>
          <w:szCs w:val="32"/>
        </w:rPr>
        <w:t>七是提升城市基础设施建设支出20823万元</w:t>
      </w:r>
      <w:r>
        <w:rPr>
          <w:rFonts w:ascii="仿宋_GB2312" w:eastAsia="仿宋_GB2312" w:hAnsi="仿宋" w:hint="eastAsia"/>
          <w:sz w:val="32"/>
          <w:szCs w:val="32"/>
        </w:rPr>
        <w:t>，</w:t>
      </w:r>
      <w:r>
        <w:rPr>
          <w:rFonts w:ascii="仿宋_GB2312" w:eastAsia="仿宋_GB2312" w:hAnsi="仿宋" w:hint="eastAsia"/>
          <w:bCs/>
          <w:sz w:val="32"/>
          <w:szCs w:val="32"/>
        </w:rPr>
        <w:t>着力改善</w:t>
      </w:r>
      <w:r>
        <w:rPr>
          <w:rFonts w:ascii="仿宋_GB2312" w:eastAsia="仿宋_GB2312" w:hAnsi="仿宋" w:hint="eastAsia"/>
          <w:sz w:val="32"/>
          <w:szCs w:val="32"/>
        </w:rPr>
        <w:t>城市基础建设</w:t>
      </w:r>
      <w:r>
        <w:rPr>
          <w:rFonts w:ascii="仿宋_GB2312" w:eastAsia="仿宋_GB2312" w:hAnsi="仿宋" w:hint="eastAsia"/>
          <w:b/>
          <w:sz w:val="32"/>
          <w:szCs w:val="32"/>
        </w:rPr>
        <w:t>，</w:t>
      </w:r>
      <w:r>
        <w:rPr>
          <w:rFonts w:ascii="仿宋_GB2312" w:eastAsia="仿宋_GB2312" w:hAnsi="仿宋" w:hint="eastAsia"/>
          <w:sz w:val="32"/>
          <w:szCs w:val="32"/>
        </w:rPr>
        <w:t>推进城市核心区改造升级、市区道路整体改造和重点街巷维修维护，改造老旧小区75个、142万平方米，惠及居民2.15万户；改造旱厕33座，城区旱厕实现“清零”，有效提升城区整体形象。</w:t>
      </w:r>
    </w:p>
    <w:p w:rsidR="00B23D3B" w:rsidP="00B23D3B">
      <w:pPr>
        <w:spacing w:line="554" w:lineRule="exact"/>
        <w:ind w:firstLine="627" w:firstLineChars="196"/>
        <w:rPr>
          <w:rFonts w:ascii="仿宋_GB2312" w:eastAsia="仿宋_GB2312" w:hAnsi="仿宋" w:cs="宋体"/>
          <w:sz w:val="32"/>
          <w:szCs w:val="32"/>
        </w:rPr>
      </w:pPr>
      <w:r>
        <w:rPr>
          <w:rFonts w:ascii="楷体_GB2312" w:eastAsia="楷体_GB2312" w:hAnsi="仿宋" w:hint="eastAsia"/>
          <w:b/>
          <w:sz w:val="32"/>
          <w:szCs w:val="32"/>
        </w:rPr>
        <w:t>（三）</w:t>
      </w:r>
      <w:r>
        <w:rPr>
          <w:rFonts w:ascii="楷体_GB2312" w:eastAsia="楷体_GB2312" w:hAnsi="仿宋" w:cs="宋体" w:hint="eastAsia"/>
          <w:b/>
          <w:sz w:val="32"/>
          <w:szCs w:val="32"/>
        </w:rPr>
        <w:t>着力抓好化解债务，有效防控债务风险</w:t>
      </w:r>
    </w:p>
    <w:p w:rsidR="00B23D3B" w:rsidP="00B23D3B">
      <w:pPr>
        <w:spacing w:line="554" w:lineRule="exact"/>
        <w:ind w:firstLine="640" w:firstLineChars="200"/>
        <w:rPr>
          <w:rFonts w:ascii="仿宋_GB2312" w:eastAsia="仿宋_GB2312"/>
          <w:color w:val="000000" w:themeColor="text1"/>
          <w:sz w:val="32"/>
          <w:szCs w:val="32"/>
        </w:rPr>
      </w:pPr>
      <w:r>
        <w:rPr>
          <w:rFonts w:ascii="仿宋_GB2312" w:eastAsia="仿宋_GB2312" w:hint="eastAsia"/>
          <w:color w:val="000000" w:themeColor="text1"/>
          <w:sz w:val="32"/>
          <w:szCs w:val="32"/>
        </w:rPr>
        <w:t>强化政府债务风险管理，多措并举完成全年债务化解任务。</w:t>
      </w:r>
      <w:r>
        <w:rPr>
          <w:rFonts w:ascii="仿宋_GB2312" w:eastAsia="仿宋_GB2312" w:hAnsi="仿宋" w:cs="仿宋" w:hint="eastAsia"/>
          <w:color w:val="000000" w:themeColor="text1"/>
          <w:sz w:val="32"/>
          <w:szCs w:val="32"/>
        </w:rPr>
        <w:t>全面落实《政府债务风险化解规划》和《政府隐性债务化解方案》，</w:t>
      </w:r>
      <w:r>
        <w:rPr>
          <w:rFonts w:ascii="仿宋_GB2312" w:eastAsia="仿宋_GB2312" w:hint="eastAsia"/>
          <w:color w:val="000000" w:themeColor="text1"/>
          <w:sz w:val="32"/>
          <w:szCs w:val="32"/>
        </w:rPr>
        <w:t>实行还本付息“年计划、月提醒、日对账”制度，全年按时足额偿还到期债券本息17.79亿元；加强常态化统计监测，化解隐性债务3.36亿元，连续3年超额完成隐性债务化解任务；通过与债权单位有效沟通，</w:t>
      </w:r>
      <w:r>
        <w:rPr>
          <w:rFonts w:ascii="仿宋_GB2312" w:eastAsia="仿宋_GB2312" w:hint="eastAsia"/>
          <w:color w:val="000000" w:themeColor="text1"/>
          <w:sz w:val="32"/>
          <w:szCs w:val="32"/>
        </w:rPr>
        <w:t>将债务率较高部分债务的利率下降20%，每年减少利息支出近300万元，有效化解了债务风险；完善举债制度，严守举债融资负面清单，坚持“开好前门、堵死后门”，实现债务风险可防可控。</w:t>
      </w:r>
    </w:p>
    <w:p w:rsidR="00B23D3B" w:rsidP="00B23D3B">
      <w:pPr>
        <w:spacing w:line="554" w:lineRule="exact"/>
        <w:ind w:firstLine="627" w:firstLineChars="196"/>
        <w:rPr>
          <w:rFonts w:ascii="仿宋_GB2312" w:eastAsia="仿宋_GB2312" w:hAnsi="仿宋"/>
          <w:color w:val="000000"/>
          <w:sz w:val="32"/>
          <w:szCs w:val="32"/>
        </w:rPr>
      </w:pPr>
      <w:r>
        <w:rPr>
          <w:rFonts w:ascii="楷体_GB2312" w:eastAsia="楷体_GB2312" w:hAnsi="仿宋" w:cs="宋体" w:hint="eastAsia"/>
          <w:b/>
          <w:sz w:val="32"/>
          <w:szCs w:val="32"/>
        </w:rPr>
        <w:t>（四）</w:t>
      </w:r>
      <w:r>
        <w:rPr>
          <w:rFonts w:ascii="楷体_GB2312" w:eastAsia="楷体_GB2312" w:hAnsi="仿宋" w:hint="eastAsia"/>
          <w:b/>
          <w:sz w:val="32"/>
          <w:szCs w:val="32"/>
        </w:rPr>
        <w:t>着力推动改革落地，健全现代财政制度</w:t>
      </w:r>
    </w:p>
    <w:p w:rsidR="00B23D3B" w:rsidP="00B23D3B">
      <w:pPr>
        <w:spacing w:line="554" w:lineRule="exact"/>
        <w:ind w:firstLine="643"/>
        <w:rPr>
          <w:rFonts w:ascii="仿宋_GB2312" w:eastAsia="仿宋_GB2312" w:hAnsi="仿宋" w:cs="宋体"/>
          <w:sz w:val="32"/>
          <w:szCs w:val="32"/>
        </w:rPr>
      </w:pPr>
      <w:r>
        <w:rPr>
          <w:rFonts w:ascii="仿宋_GB2312" w:eastAsia="仿宋_GB2312" w:hAnsi="仿宋" w:hint="eastAsia"/>
          <w:sz w:val="32"/>
          <w:szCs w:val="32"/>
        </w:rPr>
        <w:t>坚持依法行政、依法理财，不断完善管理机制，强化日常监管，全区财政保持平稳健康运行。</w:t>
      </w:r>
      <w:r>
        <w:rPr>
          <w:rFonts w:ascii="仿宋_GB2312" w:eastAsia="仿宋_GB2312" w:hAnsi="仿宋" w:hint="eastAsia"/>
          <w:b/>
          <w:color w:val="000000"/>
          <w:sz w:val="32"/>
          <w:szCs w:val="32"/>
        </w:rPr>
        <w:t>一是</w:t>
      </w:r>
      <w:r>
        <w:rPr>
          <w:rFonts w:ascii="仿宋_GB2312" w:eastAsia="仿宋_GB2312" w:hAnsi="仿宋" w:cs="宋体" w:hint="eastAsia"/>
          <w:color w:val="000000"/>
          <w:sz w:val="32"/>
          <w:szCs w:val="32"/>
        </w:rPr>
        <w:t>管好用好直达资金。积极向上争取，累计拨付1.8亿元用于全区基础民生支出，极大程度的缓解了本级财政支出压力。</w:t>
      </w:r>
      <w:r>
        <w:rPr>
          <w:rFonts w:ascii="仿宋_GB2312" w:eastAsia="仿宋_GB2312" w:hAnsi="仿宋" w:hint="eastAsia"/>
          <w:b/>
          <w:color w:val="000000"/>
          <w:sz w:val="32"/>
          <w:szCs w:val="32"/>
        </w:rPr>
        <w:t>二是</w:t>
      </w:r>
      <w:r>
        <w:rPr>
          <w:rFonts w:ascii="仿宋_GB2312" w:eastAsia="仿宋_GB2312" w:hAnsi="仿宋" w:hint="eastAsia"/>
          <w:color w:val="000000"/>
          <w:sz w:val="32"/>
          <w:szCs w:val="32"/>
        </w:rPr>
        <w:t>狠抓预算执行，加大预决算公开力度。认真落实减税降费政策，全年新增各项税费减免约1.19亿元。</w:t>
      </w:r>
      <w:r>
        <w:rPr>
          <w:rFonts w:ascii="仿宋_GB2312" w:eastAsia="仿宋_GB2312" w:hAnsi="仿宋" w:hint="eastAsia"/>
          <w:b/>
          <w:color w:val="000000"/>
          <w:sz w:val="32"/>
          <w:szCs w:val="32"/>
        </w:rPr>
        <w:t>三是</w:t>
      </w:r>
      <w:r>
        <w:rPr>
          <w:rFonts w:ascii="仿宋_GB2312" w:eastAsia="仿宋_GB2312" w:hAnsi="仿宋" w:hint="eastAsia"/>
          <w:color w:val="000000"/>
          <w:sz w:val="32"/>
          <w:szCs w:val="32"/>
        </w:rPr>
        <w:t>加强项目投资评审，严格执行政府采购、投资评审工作制度，把提高财政资金使用效益贯彻财政工作始终，全年共评审项目313项，评审金额4.34亿元，审定金额3.67亿元，审减金额0.67亿元，审减率15.5%。</w:t>
      </w:r>
      <w:r>
        <w:rPr>
          <w:rFonts w:ascii="仿宋_GB2312" w:eastAsia="仿宋_GB2312" w:hAnsi="仿宋" w:hint="eastAsia"/>
          <w:b/>
          <w:bCs/>
          <w:sz w:val="32"/>
          <w:szCs w:val="32"/>
        </w:rPr>
        <w:t>四是</w:t>
      </w:r>
      <w:r>
        <w:rPr>
          <w:rFonts w:ascii="仿宋_GB2312" w:eastAsia="仿宋_GB2312" w:hAnsi="仿宋" w:cs="宋体" w:hint="eastAsia"/>
          <w:sz w:val="32"/>
          <w:szCs w:val="32"/>
        </w:rPr>
        <w:t>积极推进绩效预算改革工作</w:t>
      </w:r>
      <w:r>
        <w:rPr>
          <w:rFonts w:ascii="仿宋_GB2312" w:eastAsia="仿宋_GB2312" w:hAnsi="仿宋" w:hint="eastAsia"/>
          <w:sz w:val="32"/>
          <w:szCs w:val="32"/>
        </w:rPr>
        <w:t>，</w:t>
      </w:r>
      <w:r>
        <w:rPr>
          <w:rFonts w:ascii="仿宋_GB2312" w:eastAsia="仿宋_GB2312" w:hAnsi="仿宋" w:cs="宋体" w:hint="eastAsia"/>
          <w:sz w:val="32"/>
          <w:szCs w:val="32"/>
        </w:rPr>
        <w:t>建立全过程绩效预算管理模式。积极制定绩效评价工作规划、年度绩效评价工作计划、组织开展绩效评价、强化绩效评价等有力举措，全力构建绩效评价监督机制。</w:t>
      </w:r>
    </w:p>
    <w:p w:rsidR="00B23D3B" w:rsidP="00B23D3B">
      <w:pPr>
        <w:spacing w:line="554" w:lineRule="exact"/>
        <w:ind w:firstLine="643"/>
        <w:rPr>
          <w:rFonts w:ascii="仿宋_GB2312" w:eastAsia="仿宋_GB2312" w:hAnsi="仿宋" w:cs="宋体"/>
          <w:sz w:val="24"/>
        </w:rPr>
      </w:pPr>
      <w:r>
        <w:rPr>
          <w:rFonts w:ascii="仿宋_GB2312" w:eastAsia="仿宋_GB2312" w:hAnsi="仿宋" w:cs="宋体" w:hint="eastAsia"/>
          <w:sz w:val="32"/>
          <w:szCs w:val="32"/>
        </w:rPr>
        <w:t>过去的一年，我们战胜了前所未有的困难和挑战，顶住了前所未有的压力和考验，成绩来之不易，是</w:t>
      </w:r>
      <w:r>
        <w:rPr>
          <w:rFonts w:ascii="仿宋_GB2312" w:eastAsia="仿宋_GB2312" w:hAnsi="仿宋" w:hint="eastAsia"/>
          <w:sz w:val="32"/>
          <w:szCs w:val="32"/>
        </w:rPr>
        <w:t>全区上下深入学习宣传贯彻党的十九大精神和坚持以习近平新时代中国特色社会主义思想引领航向的结果，是坚决落实省、市和区委各项决策部署的结果</w:t>
      </w:r>
      <w:r>
        <w:rPr>
          <w:rFonts w:ascii="仿宋_GB2312" w:eastAsia="仿宋_GB2312" w:hAnsi="仿宋" w:cs="宋体" w:hint="eastAsia"/>
          <w:sz w:val="32"/>
          <w:szCs w:val="32"/>
        </w:rPr>
        <w:t>，</w:t>
      </w:r>
      <w:r>
        <w:rPr>
          <w:rFonts w:ascii="仿宋_GB2312" w:eastAsia="仿宋_GB2312" w:hAnsi="仿宋" w:hint="eastAsia"/>
          <w:sz w:val="32"/>
          <w:szCs w:val="32"/>
        </w:rPr>
        <w:t>是区人大、区政协以及社会各界大力支持的结果</w:t>
      </w:r>
      <w:r>
        <w:rPr>
          <w:rFonts w:ascii="仿宋_GB2312" w:eastAsia="仿宋_GB2312" w:hAnsi="仿宋" w:cs="宋体" w:hint="eastAsia"/>
          <w:sz w:val="32"/>
          <w:szCs w:val="32"/>
        </w:rPr>
        <w:t>。在总结成绩的同时，我们也清醒</w:t>
      </w:r>
      <w:r>
        <w:rPr>
          <w:rFonts w:ascii="仿宋_GB2312" w:eastAsia="仿宋_GB2312" w:hAnsi="仿宋" w:cs="宋体" w:hint="eastAsia"/>
          <w:sz w:val="32"/>
          <w:szCs w:val="32"/>
        </w:rPr>
        <w:t>地看到，当前面临的困难和挑战依然较多。主要表现在：</w:t>
      </w:r>
      <w:r w:rsidRPr="0054735F">
        <w:rPr>
          <w:rFonts w:ascii="仿宋_GB2312" w:eastAsia="仿宋_GB2312" w:hAnsi="仿宋" w:cs="宋体" w:hint="eastAsia"/>
          <w:b/>
          <w:sz w:val="32"/>
          <w:szCs w:val="32"/>
        </w:rPr>
        <w:t>一是</w:t>
      </w:r>
      <w:r w:rsidRPr="0054735F">
        <w:rPr>
          <w:rFonts w:ascii="仿宋_GB2312" w:eastAsia="仿宋_GB2312" w:hAnsi="仿宋" w:cs="宋体" w:hint="eastAsia"/>
          <w:sz w:val="32"/>
          <w:szCs w:val="32"/>
        </w:rPr>
        <w:t>受疫情影响，</w:t>
      </w:r>
      <w:r>
        <w:rPr>
          <w:rFonts w:ascii="仿宋_GB2312" w:eastAsia="仿宋_GB2312" w:hAnsi="仿宋" w:cs="宋体" w:hint="eastAsia"/>
          <w:sz w:val="32"/>
          <w:szCs w:val="32"/>
        </w:rPr>
        <w:t>财政收支压力前所未有，财政收入增长基础不稳固以及减税降费落实力度加大，“三保”刚性支出与日俱增，财政运转压力空前。</w:t>
      </w:r>
      <w:r>
        <w:rPr>
          <w:rFonts w:ascii="仿宋_GB2312" w:eastAsia="仿宋_GB2312" w:hAnsi="仿宋" w:cs="宋体" w:hint="eastAsia"/>
          <w:b/>
          <w:sz w:val="32"/>
          <w:szCs w:val="32"/>
        </w:rPr>
        <w:t>二是</w:t>
      </w:r>
      <w:r>
        <w:rPr>
          <w:rFonts w:ascii="仿宋_GB2312" w:eastAsia="仿宋_GB2312" w:hAnsi="仿宋" w:cs="宋体" w:hint="eastAsia"/>
          <w:sz w:val="32"/>
          <w:szCs w:val="32"/>
        </w:rPr>
        <w:t>风险防控压力前所未有，全区政府债务风险总体可控，但全区债务余额、综合债务率等指标在全省排名靠前，年需偿还债务20余亿元，以我区当前可用财力水平，偿还压力十分巨大。</w:t>
      </w:r>
      <w:r>
        <w:rPr>
          <w:rFonts w:ascii="仿宋_GB2312" w:eastAsia="仿宋_GB2312" w:hAnsi="仿宋" w:cs="宋体" w:hint="eastAsia"/>
          <w:b/>
          <w:sz w:val="32"/>
          <w:szCs w:val="32"/>
        </w:rPr>
        <w:t>三是</w:t>
      </w:r>
      <w:r>
        <w:rPr>
          <w:rFonts w:ascii="仿宋_GB2312" w:eastAsia="仿宋_GB2312" w:hAnsi="仿宋" w:cs="宋体" w:hint="eastAsia"/>
          <w:sz w:val="32"/>
          <w:szCs w:val="32"/>
        </w:rPr>
        <w:t>资金监管压力前所未有，全区预算绩效管理工作推进还不平衡，部门预算管理主体责任意识还需增强等等。对这些问题，我们将高度重视，进一步强化问题导向、深化预算改革，加强收支管理，规范资金使用，防控运行风险。</w:t>
      </w:r>
    </w:p>
    <w:p w:rsidR="00B23D3B" w:rsidP="00B23D3B">
      <w:pPr>
        <w:spacing w:line="554" w:lineRule="exact"/>
        <w:ind w:firstLine="640" w:firstLineChars="200"/>
        <w:rPr>
          <w:rFonts w:ascii="黑体" w:eastAsia="黑体" w:hAnsi="黑体"/>
          <w:sz w:val="32"/>
          <w:szCs w:val="32"/>
        </w:rPr>
      </w:pPr>
      <w:r>
        <w:rPr>
          <w:rFonts w:ascii="黑体" w:eastAsia="黑体" w:hAnsi="黑体" w:hint="eastAsia"/>
          <w:sz w:val="32"/>
          <w:szCs w:val="32"/>
        </w:rPr>
        <w:t>二、2022年财政预算安排情况</w:t>
      </w:r>
    </w:p>
    <w:p w:rsidR="00B23D3B" w:rsidP="00B23D3B">
      <w:pPr>
        <w:spacing w:line="554" w:lineRule="exact"/>
        <w:ind w:firstLine="640" w:firstLineChars="2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2022年是“十四五”承上启下的关键之年，也是应对财政风险挑战的攻坚之年，编制好2022年预算对全区经济社会高质量发展和“十四五”规划实施具有重要意义。</w:t>
      </w:r>
    </w:p>
    <w:p w:rsidR="00B23D3B" w:rsidP="00B23D3B">
      <w:pPr>
        <w:spacing w:line="554" w:lineRule="exact"/>
        <w:ind w:firstLine="640" w:firstLineChars="200"/>
        <w:rPr>
          <w:rFonts w:ascii="楷体_GB2312" w:eastAsia="楷体_GB2312" w:hAnsi="仿宋" w:cs="宋体"/>
          <w:b/>
          <w:color w:val="000000"/>
          <w:sz w:val="32"/>
          <w:szCs w:val="32"/>
        </w:rPr>
      </w:pPr>
      <w:r>
        <w:rPr>
          <w:rFonts w:ascii="楷体_GB2312" w:eastAsia="楷体_GB2312" w:hAnsi="仿宋" w:cs="宋体" w:hint="eastAsia"/>
          <w:b/>
          <w:color w:val="000000"/>
          <w:sz w:val="32"/>
          <w:szCs w:val="32"/>
        </w:rPr>
        <w:t>（一）2022年预算编制指导思想</w:t>
      </w:r>
    </w:p>
    <w:p w:rsidR="00B23D3B" w:rsidRPr="0054735F" w:rsidP="00B23D3B">
      <w:pPr>
        <w:autoSpaceDE w:val="0"/>
        <w:autoSpaceDN w:val="0"/>
        <w:spacing w:line="554" w:lineRule="exact"/>
        <w:ind w:firstLine="640"/>
        <w:rPr>
          <w:rFonts w:ascii="仿宋_GB2312" w:eastAsia="仿宋_GB2312" w:hAnsi="仿宋_GB2312" w:cs="仿宋_GB2312"/>
          <w:sz w:val="32"/>
          <w:szCs w:val="32"/>
        </w:rPr>
      </w:pPr>
      <w:r w:rsidRPr="0054735F">
        <w:rPr>
          <w:rFonts w:ascii="仿宋_GB2312" w:eastAsia="仿宋_GB2312" w:hAnsi="仿宋_GB2312" w:cs="仿宋_GB2312" w:hint="eastAsia"/>
          <w:sz w:val="32"/>
          <w:szCs w:val="32"/>
        </w:rPr>
        <w:t>坚持以习近平新时代中国特色社会主义思想为指导，全面贯彻党的十九大和十九届历次全会精神，全面落实习近平总书记视察承德重要讲话指示精神，大力弘扬伟大建党精神和塞罕坝精神，坚决贯彻落实国家、省、市重大决策部署，紧紧围绕</w:t>
      </w:r>
      <w:r>
        <w:rPr>
          <w:rFonts w:ascii="仿宋_GB2312" w:eastAsia="仿宋_GB2312" w:hAnsi="仿宋_GB2312" w:cs="仿宋_GB2312" w:hint="eastAsia"/>
          <w:sz w:val="32"/>
          <w:szCs w:val="32"/>
        </w:rPr>
        <w:t>全区</w:t>
      </w:r>
      <w:r w:rsidRPr="0054735F">
        <w:rPr>
          <w:rFonts w:ascii="仿宋_GB2312" w:eastAsia="仿宋_GB2312" w:hAnsi="仿宋_GB2312" w:cs="仿宋_GB2312" w:hint="eastAsia"/>
          <w:sz w:val="32"/>
          <w:szCs w:val="32"/>
        </w:rPr>
        <w:t>整体部署，坚持稳中求进工作总基调，以推动高质量发展为主题，以深化供给侧结构性改革为主线，统筹疫情防控和经济社会发展，继续做好“六稳”</w:t>
      </w:r>
      <w:r w:rsidRPr="0054735F">
        <w:rPr>
          <w:rFonts w:ascii="仿宋_GB2312" w:eastAsia="仿宋_GB2312" w:hAnsi="仿宋_GB2312" w:cs="仿宋_GB2312" w:hint="eastAsia"/>
          <w:sz w:val="32"/>
          <w:szCs w:val="32"/>
        </w:rPr>
        <w:t>“六保”工作，调整优化支出结构，全力保障改善民生，持续强化资金管理，扎实深化财税改革，防范化解财政风险，增强财政可持续性，努力为全面建设“首善之区、幸福双桥”提供坚实保障。</w:t>
      </w:r>
    </w:p>
    <w:p w:rsidR="00B23D3B" w:rsidP="00B23D3B">
      <w:pPr>
        <w:spacing w:line="554" w:lineRule="exact"/>
        <w:ind w:firstLine="645"/>
        <w:rPr>
          <w:rFonts w:ascii="楷体_GB2312" w:eastAsia="楷体_GB2312" w:hAnsi="仿宋"/>
          <w:b/>
          <w:sz w:val="32"/>
          <w:szCs w:val="32"/>
        </w:rPr>
      </w:pPr>
      <w:r>
        <w:rPr>
          <w:rFonts w:ascii="楷体_GB2312" w:eastAsia="楷体_GB2312" w:hAnsi="仿宋" w:hint="eastAsia"/>
          <w:b/>
          <w:sz w:val="32"/>
          <w:szCs w:val="32"/>
        </w:rPr>
        <w:t>（二）2022年预算编制基本原则</w:t>
      </w:r>
    </w:p>
    <w:p w:rsidR="00B23D3B" w:rsidP="00B23D3B">
      <w:pPr>
        <w:spacing w:line="554"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——依法合规。</w:t>
      </w:r>
      <w:r>
        <w:rPr>
          <w:rFonts w:ascii="仿宋_GB2312" w:eastAsia="仿宋_GB2312" w:hAnsi="仿宋_GB2312" w:cs="仿宋_GB2312" w:hint="eastAsia"/>
          <w:sz w:val="32"/>
          <w:szCs w:val="32"/>
        </w:rPr>
        <w:t>全面贯彻落实《中华人民共和国预算法》及《实施条例》等财经法律法规，规范预算编制，明确主体责任，强化刚性约束，推动预算工作法治化、制度化和规范化。</w:t>
      </w:r>
    </w:p>
    <w:p w:rsidR="00B23D3B" w:rsidP="00B23D3B">
      <w:pPr>
        <w:spacing w:line="554" w:lineRule="exact"/>
        <w:ind w:firstLine="640" w:firstLineChars="200"/>
        <w:rPr>
          <w:rFonts w:ascii="仿宋_GB2312" w:eastAsia="仿宋_GB2312" w:hAnsi="仿宋_GB2312" w:cs="仿宋_GB2312"/>
          <w:sz w:val="32"/>
          <w:szCs w:val="32"/>
        </w:rPr>
      </w:pPr>
      <w:r>
        <w:rPr>
          <w:rFonts w:ascii="仿宋_GB2312" w:eastAsia="仿宋_GB2312" w:hint="eastAsia"/>
          <w:b/>
          <w:bCs/>
          <w:sz w:val="32"/>
          <w:szCs w:val="32"/>
          <w:shd w:val="clear" w:color="auto" w:fill="FFFFFF"/>
        </w:rPr>
        <w:t>——</w:t>
      </w:r>
      <w:r>
        <w:rPr>
          <w:rFonts w:ascii="仿宋_GB2312" w:eastAsia="仿宋_GB2312" w:hAnsi="宋体" w:hint="eastAsia"/>
          <w:b/>
          <w:bCs/>
          <w:sz w:val="32"/>
          <w:szCs w:val="32"/>
          <w:shd w:val="clear" w:color="auto" w:fill="FFFFFF"/>
        </w:rPr>
        <w:t>深化改革。</w:t>
      </w:r>
      <w:r>
        <w:rPr>
          <w:rFonts w:ascii="仿宋_GB2312" w:eastAsia="仿宋_GB2312" w:hint="eastAsia"/>
          <w:sz w:val="32"/>
          <w:szCs w:val="32"/>
          <w:shd w:val="clear" w:color="auto" w:fill="FFFFFF"/>
        </w:rPr>
        <w:t>加快建立现代财政制度，完善标准科学、规范透明、约束有力的预算制度。按照《财政部预算管理一体化规范（试行）》，构建现代信息技术条件下“制度+技术”管理机制。</w:t>
      </w:r>
    </w:p>
    <w:p w:rsidR="00B23D3B" w:rsidP="00B23D3B">
      <w:pPr>
        <w:pStyle w:val="BodyText"/>
        <w:adjustRightInd w:val="0"/>
        <w:snapToGrid w:val="0"/>
        <w:spacing w:line="554" w:lineRule="exact"/>
        <w:ind w:firstLine="640" w:firstLineChars="200"/>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——优化结构。</w:t>
      </w:r>
      <w:r>
        <w:rPr>
          <w:rFonts w:ascii="仿宋_GB2312" w:eastAsia="仿宋_GB2312" w:hAnsi="仿宋_GB2312" w:cs="仿宋_GB2312" w:hint="eastAsia"/>
          <w:color w:val="000000"/>
          <w:kern w:val="0"/>
          <w:sz w:val="32"/>
          <w:szCs w:val="32"/>
        </w:rPr>
        <w:t>调整优化支出结构，坚持“三保”支出在财政支出中的第一优先地位，统筹保障好“六稳”“六保”和防范化解风险等重点领域支出。</w:t>
      </w:r>
      <w:r>
        <w:rPr>
          <w:rFonts w:ascii="仿宋_GB2312" w:eastAsia="仿宋_GB2312" w:hint="eastAsia"/>
          <w:sz w:val="32"/>
          <w:szCs w:val="32"/>
          <w:shd w:val="clear" w:color="auto" w:fill="FFFFFF"/>
        </w:rPr>
        <w:t>全面贯彻落实中央、省、市要求，相关重点支出事项不得与财政收支增幅或生产总值挂钩。</w:t>
      </w:r>
    </w:p>
    <w:p w:rsidR="00B23D3B" w:rsidP="00B23D3B">
      <w:pPr>
        <w:spacing w:line="554"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——统筹兼顾。</w:t>
      </w:r>
      <w:r>
        <w:rPr>
          <w:rFonts w:ascii="仿宋_GB2312" w:eastAsia="仿宋_GB2312" w:hAnsi="仿宋_GB2312" w:cs="仿宋_GB2312" w:hint="eastAsia"/>
          <w:sz w:val="32"/>
          <w:szCs w:val="32"/>
        </w:rPr>
        <w:t>坚持尽力而为、量力而行，统筹整合各类资产、资源和资金，打破基数概念和支出固化格局，集中财力办大事，全面实行零基预算和综合预算。</w:t>
      </w:r>
    </w:p>
    <w:p w:rsidR="00B23D3B" w:rsidP="00B23D3B">
      <w:pPr>
        <w:spacing w:line="554" w:lineRule="exact"/>
        <w:ind w:firstLine="640" w:firstLineChars="20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——厉行节约。</w:t>
      </w:r>
      <w:r>
        <w:rPr>
          <w:rFonts w:ascii="仿宋_GB2312" w:eastAsia="仿宋_GB2312" w:hAnsi="仿宋_GB2312" w:cs="仿宋_GB2312" w:hint="eastAsia"/>
          <w:sz w:val="32"/>
          <w:szCs w:val="32"/>
        </w:rPr>
        <w:t>发扬艰苦奋斗优良传统，</w:t>
      </w:r>
      <w:r>
        <w:rPr>
          <w:rFonts w:ascii="仿宋_GB2312" w:eastAsia="仿宋_GB2312" w:hAnsi="仿宋_GB2312" w:cs="仿宋_GB2312" w:hint="eastAsia"/>
          <w:color w:val="000000"/>
          <w:sz w:val="32"/>
          <w:szCs w:val="32"/>
        </w:rPr>
        <w:t>落实政府过紧日子要求，开源节流、精打细算、细化标准，严格控制非急需、非刚性和一般性支出，厉行节约办一切事业。</w:t>
      </w:r>
      <w:r>
        <w:rPr>
          <w:rFonts w:ascii="仿宋_GB2312" w:eastAsia="仿宋_GB2312" w:hint="eastAsia"/>
          <w:sz w:val="32"/>
          <w:szCs w:val="32"/>
          <w:shd w:val="clear" w:color="auto" w:fill="FFFFFF"/>
        </w:rPr>
        <w:t>严</w:t>
      </w:r>
      <w:r>
        <w:rPr>
          <w:rFonts w:ascii="仿宋_GB2312" w:eastAsia="仿宋_GB2312" w:hint="eastAsia"/>
          <w:sz w:val="32"/>
          <w:szCs w:val="32"/>
          <w:shd w:val="clear" w:color="auto" w:fill="FFFFFF"/>
        </w:rPr>
        <w:t>控“三公”经费，严格执行开支范围和标准，严禁新建政府性楼堂馆所，严禁铺张浪费。</w:t>
      </w:r>
    </w:p>
    <w:p w:rsidR="00B23D3B" w:rsidP="00B23D3B">
      <w:pPr>
        <w:spacing w:line="554" w:lineRule="exact"/>
        <w:ind w:firstLine="640" w:firstLineChars="20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——讲求绩效。</w:t>
      </w:r>
      <w:r>
        <w:rPr>
          <w:rFonts w:ascii="仿宋_GB2312" w:eastAsia="仿宋_GB2312" w:hAnsi="仿宋_GB2312" w:cs="仿宋_GB2312" w:hint="eastAsia"/>
          <w:color w:val="000000"/>
          <w:sz w:val="32"/>
          <w:szCs w:val="32"/>
        </w:rPr>
        <w:t>突出绩效导向，将绩效管理融入预算管理全过程，科学合理编制绩效目标指标，加强绩效监控和评价结果应用，全面实施预算绩效管理。</w:t>
      </w:r>
    </w:p>
    <w:p w:rsidR="00B23D3B" w:rsidP="00B23D3B">
      <w:pPr>
        <w:spacing w:line="554" w:lineRule="exact"/>
        <w:ind w:firstLine="627" w:firstLineChars="196"/>
        <w:rPr>
          <w:rFonts w:ascii="楷体_GB2312" w:eastAsia="楷体_GB2312" w:hAnsi="仿宋"/>
          <w:b/>
          <w:sz w:val="32"/>
          <w:szCs w:val="32"/>
        </w:rPr>
      </w:pPr>
      <w:r>
        <w:rPr>
          <w:rFonts w:ascii="楷体_GB2312" w:eastAsia="楷体_GB2312" w:hAnsi="仿宋" w:hint="eastAsia"/>
          <w:b/>
          <w:sz w:val="32"/>
          <w:szCs w:val="32"/>
        </w:rPr>
        <w:t>（三）2022年财政预算草案</w:t>
      </w:r>
    </w:p>
    <w:p w:rsidR="00B23D3B" w:rsidP="00B23D3B">
      <w:pPr>
        <w:spacing w:line="554" w:lineRule="exact"/>
        <w:ind w:firstLine="627" w:firstLineChars="196"/>
        <w:rPr>
          <w:rFonts w:ascii="仿宋_GB2312" w:eastAsia="仿宋_GB2312" w:hAnsi="仿宋"/>
          <w:b/>
          <w:sz w:val="32"/>
          <w:szCs w:val="32"/>
        </w:rPr>
      </w:pPr>
      <w:r>
        <w:rPr>
          <w:rFonts w:ascii="仿宋_GB2312" w:eastAsia="仿宋_GB2312" w:hAnsi="仿宋" w:hint="eastAsia"/>
          <w:b/>
          <w:sz w:val="32"/>
          <w:szCs w:val="32"/>
        </w:rPr>
        <w:t>1.一般公共预算</w:t>
      </w:r>
    </w:p>
    <w:p w:rsidR="00B23D3B" w:rsidP="00B23D3B">
      <w:pPr>
        <w:spacing w:line="554" w:lineRule="exact"/>
        <w:ind w:firstLine="640" w:firstLineChars="200"/>
        <w:rPr>
          <w:rFonts w:ascii="仿宋_GB2312" w:eastAsia="仿宋_GB2312" w:hAnsi="仿宋"/>
          <w:sz w:val="32"/>
          <w:szCs w:val="32"/>
        </w:rPr>
      </w:pPr>
      <w:r>
        <w:rPr>
          <w:rFonts w:ascii="仿宋_GB2312" w:eastAsia="仿宋_GB2312" w:hAnsi="仿宋" w:hint="eastAsia"/>
          <w:sz w:val="32"/>
          <w:szCs w:val="32"/>
        </w:rPr>
        <w:t>综合考虑全区经济发展形势和政策性增减收因素，</w:t>
      </w:r>
      <w:r>
        <w:rPr>
          <w:rFonts w:ascii="仿宋_GB2312" w:eastAsia="仿宋_GB2312" w:hAnsi="仿宋" w:cs="仿宋_GB2312" w:hint="eastAsia"/>
          <w:sz w:val="32"/>
          <w:szCs w:val="32"/>
        </w:rPr>
        <w:t>2022年区级一般公共财政预算收入拟安排160400万元，增长5%，加上上级财力性补助5702万元，</w:t>
      </w:r>
      <w:r>
        <w:rPr>
          <w:rFonts w:ascii="仿宋_GB2312" w:eastAsia="仿宋_GB2312" w:hAnsi="仿宋" w:hint="eastAsia"/>
          <w:sz w:val="32"/>
          <w:szCs w:val="32"/>
        </w:rPr>
        <w:t>为实现当年财政收支平衡，保证全区运转及民生政策支出需要，安排调入政府性基金214000万元，根据再融资债券申请情况，安排一般债券转贷收入110900万元，根据上级财政部门提前下达的转移支付情况，安排提前下达转移支付资金收入18475万元，安排上年结转资金收入29545</w:t>
      </w:r>
      <w:r>
        <w:rPr>
          <w:rFonts w:ascii="仿宋_GB2312" w:eastAsia="仿宋_GB2312" w:hAnsi="仿宋" w:cs="仿宋_GB2312" w:hint="eastAsia"/>
          <w:sz w:val="32"/>
          <w:szCs w:val="32"/>
        </w:rPr>
        <w:t>万元，全区公共财政预算总收入拟安排539022万元</w:t>
      </w:r>
      <w:r>
        <w:rPr>
          <w:rFonts w:ascii="仿宋_GB2312" w:eastAsia="仿宋_GB2312" w:hAnsi="仿宋" w:hint="eastAsia"/>
          <w:sz w:val="32"/>
          <w:szCs w:val="32"/>
        </w:rPr>
        <w:t>。一般公共预算支出拟安排304520万元，上解支出94102万元，债务还本支出140400万元，一般公共预算总支出拟安排539022万元。年度预算收支安排平衡。区级一般公共预算支出安排简况如下：</w:t>
      </w:r>
    </w:p>
    <w:p w:rsidR="00B23D3B" w:rsidP="00B23D3B">
      <w:pPr>
        <w:spacing w:line="554" w:lineRule="exact"/>
        <w:ind w:firstLine="640" w:firstLineChars="200"/>
        <w:rPr>
          <w:rFonts w:ascii="仿宋_GB2312" w:eastAsia="仿宋_GB2312" w:hAnsi="黑体" w:cs="宋体"/>
          <w:b/>
          <w:color w:val="000000"/>
          <w:sz w:val="32"/>
          <w:szCs w:val="32"/>
        </w:rPr>
      </w:pPr>
      <w:r>
        <w:rPr>
          <w:rFonts w:ascii="仿宋_GB2312" w:eastAsia="仿宋_GB2312" w:hAnsi="黑体" w:cs="宋体" w:hint="eastAsia"/>
          <w:b/>
          <w:color w:val="000000"/>
          <w:sz w:val="32"/>
          <w:szCs w:val="32"/>
        </w:rPr>
        <w:t xml:space="preserve">第一类“保工资、保运转、保民生、保债务”的必保支出，共计305854万元（含再融资债券110900万元）。 </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b/>
          <w:color w:val="000000"/>
          <w:sz w:val="32"/>
          <w:szCs w:val="32"/>
        </w:rPr>
        <w:t>（1）人员工资及社会保障缴费支出约81638万元</w:t>
      </w:r>
      <w:r>
        <w:rPr>
          <w:rFonts w:ascii="仿宋_GB2312" w:eastAsia="仿宋_GB2312" w:hAnsi="黑体" w:cs="宋体" w:hint="eastAsia"/>
          <w:color w:val="000000"/>
          <w:sz w:val="32"/>
          <w:szCs w:val="32"/>
        </w:rPr>
        <w:t>，安排的原则为凡是现已出台的涉及个人待遇全部安排，不留</w:t>
      </w:r>
      <w:r>
        <w:rPr>
          <w:rFonts w:ascii="仿宋_GB2312" w:eastAsia="仿宋_GB2312" w:hAnsi="黑体" w:cs="宋体" w:hint="eastAsia"/>
          <w:color w:val="000000"/>
          <w:sz w:val="32"/>
          <w:szCs w:val="32"/>
        </w:rPr>
        <w:t>缺口。包括工资、津补贴、绩效工资、年终一次性奖金、车改补贴、通讯补贴、乡镇补贴、物业补贴、取暖费、绩效奖、住房公积金、福利费、养老工伤医疗生育四险、伤残补助、遗属补助、社区干部工资保险、政府核定的劳务派遣人员工资保险、信访、审计、司法、公安、安监、纪检等专项津补贴。</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b/>
          <w:color w:val="000000"/>
          <w:sz w:val="32"/>
          <w:szCs w:val="32"/>
        </w:rPr>
        <w:t>（2）机关运转公用经费支出8900万元</w:t>
      </w:r>
      <w:r>
        <w:rPr>
          <w:rFonts w:ascii="仿宋_GB2312" w:eastAsia="仿宋_GB2312" w:hAnsi="黑体" w:cs="宋体" w:hint="eastAsia"/>
          <w:color w:val="000000"/>
          <w:sz w:val="32"/>
          <w:szCs w:val="32"/>
        </w:rPr>
        <w:t>，其中：标准定额公用经费支出安排5400万元，较上年增加200万元，主要为：人员增加而产生的公用经费支出。执收执罚单位超标准定额公用经费支出安排3500万元。</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b/>
          <w:color w:val="000000"/>
          <w:sz w:val="32"/>
          <w:szCs w:val="32"/>
        </w:rPr>
        <w:t>（3）民生及政策性支出18087万元</w:t>
      </w:r>
      <w:r>
        <w:rPr>
          <w:rFonts w:ascii="仿宋_GB2312" w:eastAsia="仿宋_GB2312" w:hAnsi="黑体" w:cs="宋体" w:hint="eastAsia"/>
          <w:color w:val="000000"/>
          <w:sz w:val="32"/>
          <w:szCs w:val="32"/>
        </w:rPr>
        <w:t>，主要安排教育、卫生、社保、民政、退役军人等保障支出，具体安排为：城乡低保500万元、区2022年机关事业养老保险统筹内资金8500万元、退役军人一次性抚恤500万元、基本公共卫生服务项目880万元、人社局企业养老风险储备金696万元等民生政策性支出。</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b/>
          <w:color w:val="000000"/>
          <w:sz w:val="32"/>
          <w:szCs w:val="32"/>
        </w:rPr>
        <w:t>（4）债务支出197229万元</w:t>
      </w:r>
      <w:r>
        <w:rPr>
          <w:rFonts w:ascii="仿宋_GB2312" w:eastAsia="仿宋_GB2312" w:hAnsi="黑体" w:cs="宋体" w:hint="eastAsia"/>
          <w:color w:val="000000"/>
          <w:sz w:val="32"/>
          <w:szCs w:val="32"/>
        </w:rPr>
        <w:t>，主要为：</w:t>
      </w:r>
      <w:r>
        <w:rPr>
          <w:rFonts w:ascii="仿宋_GB2312" w:eastAsia="仿宋_GB2312" w:hAnsi="黑体" w:cs="宋体" w:hint="eastAsia"/>
          <w:b/>
          <w:color w:val="000000"/>
          <w:sz w:val="32"/>
          <w:szCs w:val="32"/>
        </w:rPr>
        <w:t>一是</w:t>
      </w:r>
      <w:r>
        <w:rPr>
          <w:rFonts w:ascii="仿宋_GB2312" w:eastAsia="仿宋_GB2312" w:hAnsi="黑体" w:cs="宋体" w:hint="eastAsia"/>
          <w:color w:val="000000"/>
          <w:sz w:val="32"/>
          <w:szCs w:val="32"/>
        </w:rPr>
        <w:t>偿还当年到期政府一般债券本息149049万元（含再融资债券110900万元）；</w:t>
      </w:r>
      <w:r>
        <w:rPr>
          <w:rFonts w:ascii="仿宋_GB2312" w:eastAsia="仿宋_GB2312" w:hAnsi="黑体" w:cs="宋体" w:hint="eastAsia"/>
          <w:b/>
          <w:color w:val="000000"/>
          <w:sz w:val="32"/>
          <w:szCs w:val="32"/>
        </w:rPr>
        <w:t>二是</w:t>
      </w:r>
      <w:r>
        <w:rPr>
          <w:rFonts w:ascii="仿宋_GB2312" w:eastAsia="仿宋_GB2312" w:hAnsi="黑体" w:cs="宋体" w:hint="eastAsia"/>
          <w:color w:val="000000"/>
          <w:sz w:val="32"/>
          <w:szCs w:val="32"/>
        </w:rPr>
        <w:t>偿还当年到期隐性债本息48180万元。</w:t>
      </w:r>
    </w:p>
    <w:p w:rsidR="00B23D3B" w:rsidP="00B23D3B">
      <w:pPr>
        <w:spacing w:line="554" w:lineRule="exact"/>
        <w:ind w:firstLine="640" w:firstLineChars="200"/>
        <w:rPr>
          <w:rFonts w:ascii="仿宋_GB2312" w:eastAsia="仿宋_GB2312" w:hAnsi="黑体" w:cs="宋体"/>
          <w:b/>
          <w:color w:val="000000"/>
          <w:sz w:val="32"/>
          <w:szCs w:val="32"/>
        </w:rPr>
      </w:pPr>
      <w:r>
        <w:rPr>
          <w:rFonts w:ascii="仿宋_GB2312" w:eastAsia="仿宋_GB2312" w:hAnsi="黑体" w:cs="宋体" w:hint="eastAsia"/>
          <w:b/>
          <w:color w:val="000000"/>
          <w:sz w:val="32"/>
          <w:szCs w:val="32"/>
        </w:rPr>
        <w:t>第二类维持全区基本运转的一般性支出48627万元。</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color w:val="000000"/>
          <w:sz w:val="32"/>
          <w:szCs w:val="32"/>
        </w:rPr>
        <w:t>主要为：预留调资及公教人员死亡抚恤16500万元、环卫市场化5300万元、生物质清洁取暖3364万元、疫情防控2500万元、税务事业费2500万元、洁净型煤1762万</w:t>
      </w:r>
      <w:r>
        <w:rPr>
          <w:rFonts w:ascii="仿宋_GB2312" w:eastAsia="仿宋_GB2312" w:hAnsi="黑体" w:cs="宋体" w:hint="eastAsia"/>
          <w:color w:val="000000"/>
          <w:sz w:val="32"/>
          <w:szCs w:val="32"/>
        </w:rPr>
        <w:t>元、社区服务群众专项经费1300万、双创工作经费1000万元、路灯维护及电费730万元等。</w:t>
      </w:r>
    </w:p>
    <w:p w:rsidR="00B23D3B" w:rsidP="00B23D3B">
      <w:pPr>
        <w:spacing w:line="554" w:lineRule="exact"/>
        <w:ind w:firstLine="640" w:firstLineChars="200"/>
        <w:rPr>
          <w:rFonts w:ascii="仿宋_GB2312" w:eastAsia="仿宋_GB2312" w:hAnsi="黑体" w:cs="宋体"/>
          <w:b/>
          <w:color w:val="000000"/>
          <w:sz w:val="32"/>
          <w:szCs w:val="32"/>
        </w:rPr>
      </w:pPr>
      <w:r>
        <w:rPr>
          <w:rFonts w:ascii="仿宋_GB2312" w:eastAsia="仿宋_GB2312" w:hAnsi="黑体" w:cs="宋体" w:hint="eastAsia"/>
          <w:b/>
          <w:color w:val="000000"/>
          <w:sz w:val="32"/>
          <w:szCs w:val="32"/>
        </w:rPr>
        <w:t>第三类消化全区以前年度历史欠账支出11000万元。</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color w:val="000000"/>
          <w:sz w:val="32"/>
          <w:szCs w:val="32"/>
        </w:rPr>
        <w:t>主要为：拟安排解决民生欠账资金11000万元。</w:t>
      </w:r>
    </w:p>
    <w:p w:rsidR="00B23D3B" w:rsidP="00B23D3B">
      <w:pPr>
        <w:spacing w:line="554" w:lineRule="exact"/>
        <w:ind w:firstLine="640" w:firstLineChars="200"/>
        <w:rPr>
          <w:rFonts w:ascii="仿宋_GB2312" w:eastAsia="仿宋_GB2312" w:hAnsi="黑体" w:cs="宋体"/>
          <w:b/>
          <w:color w:val="000000"/>
          <w:sz w:val="32"/>
          <w:szCs w:val="32"/>
        </w:rPr>
      </w:pPr>
      <w:r>
        <w:rPr>
          <w:rFonts w:ascii="仿宋_GB2312" w:eastAsia="仿宋_GB2312" w:hAnsi="黑体" w:cs="宋体" w:hint="eastAsia"/>
          <w:b/>
          <w:color w:val="000000"/>
          <w:sz w:val="32"/>
          <w:szCs w:val="32"/>
        </w:rPr>
        <w:t>第四类新增项目支出31363万元。</w:t>
      </w:r>
    </w:p>
    <w:p w:rsidR="00B23D3B" w:rsidP="00B23D3B">
      <w:pPr>
        <w:spacing w:line="554" w:lineRule="exact"/>
        <w:ind w:firstLine="640" w:firstLineChars="200"/>
        <w:rPr>
          <w:rFonts w:ascii="仿宋_GB2312" w:eastAsia="仿宋_GB2312" w:hAnsi="黑体" w:cs="宋体"/>
          <w:color w:val="000000"/>
          <w:sz w:val="32"/>
          <w:szCs w:val="32"/>
        </w:rPr>
      </w:pPr>
      <w:r>
        <w:rPr>
          <w:rFonts w:ascii="仿宋_GB2312" w:eastAsia="仿宋_GB2312" w:hAnsi="黑体" w:cs="宋体" w:hint="eastAsia"/>
          <w:color w:val="000000"/>
          <w:sz w:val="32"/>
          <w:szCs w:val="32"/>
        </w:rPr>
        <w:t>主要为：2022年老旧小区改造5000万元、太平庄建筑垃圾填埋场建设3500万元、全区乡村振兴事业发展项目经费3000万元、预备费3000万元、大石庙东山道路工程2882万元、全区绿化亮化硬化等城市面貌提升经费2000万元、道路维修养护1000万元、区属中学改扩建相关费用1000万元、街区改造提升项目经费1000万元、全区重点项目前期费500万元、全区应急抢险项目经费500万元、全区招商引资引智项目经费500万元等。</w:t>
      </w:r>
    </w:p>
    <w:p w:rsidR="00B23D3B" w:rsidP="00B23D3B">
      <w:pPr>
        <w:spacing w:line="554" w:lineRule="exact"/>
        <w:ind w:firstLine="645"/>
        <w:rPr>
          <w:rFonts w:ascii="仿宋_GB2312" w:eastAsia="仿宋_GB2312" w:hAnsi="仿宋"/>
          <w:b/>
          <w:sz w:val="32"/>
          <w:szCs w:val="32"/>
        </w:rPr>
      </w:pPr>
      <w:r>
        <w:rPr>
          <w:rFonts w:ascii="仿宋_GB2312" w:eastAsia="仿宋_GB2312" w:hAnsi="仿宋" w:hint="eastAsia"/>
          <w:b/>
          <w:sz w:val="32"/>
          <w:szCs w:val="32"/>
        </w:rPr>
        <w:t>2.政府性基金预算</w:t>
      </w:r>
    </w:p>
    <w:p w:rsidR="00B23D3B" w:rsidP="00B23D3B">
      <w:pPr>
        <w:spacing w:line="554" w:lineRule="exact"/>
        <w:ind w:firstLine="645"/>
        <w:rPr>
          <w:rFonts w:ascii="仿宋_GB2312" w:eastAsia="仿宋_GB2312" w:hAnsi="仿宋"/>
          <w:sz w:val="32"/>
          <w:szCs w:val="32"/>
        </w:rPr>
      </w:pPr>
      <w:r>
        <w:rPr>
          <w:rFonts w:ascii="仿宋_GB2312" w:eastAsia="仿宋_GB2312" w:hAnsi="仿宋" w:hint="eastAsia"/>
          <w:sz w:val="32"/>
          <w:szCs w:val="32"/>
        </w:rPr>
        <w:t>2022年基金预算收入拟安排7000万元，根据目前上级下达和预计下达的政府性基金转移支付情况，2022年</w:t>
      </w:r>
      <w:r>
        <w:rPr>
          <w:rFonts w:ascii="仿宋_GB2312" w:eastAsia="仿宋_GB2312" w:hAnsi="仿宋" w:hint="eastAsia"/>
          <w:color w:val="000000"/>
          <w:sz w:val="32"/>
          <w:szCs w:val="32"/>
        </w:rPr>
        <w:t>安排政府性基金转移支付收入228983万元，</w:t>
      </w:r>
      <w:r>
        <w:rPr>
          <w:rFonts w:ascii="仿宋_GB2312" w:eastAsia="仿宋_GB2312" w:hAnsi="仿宋" w:hint="eastAsia"/>
          <w:sz w:val="32"/>
          <w:szCs w:val="32"/>
        </w:rPr>
        <w:t>安排上年结转政府性基金收入76434万元，全区政府性基金预算总收入拟安排312417万元。政府性基金支出拟安排82817万元，调入一般公共预算214000万元，上解支出6300万元，债务还本支出9300万元，政府性基金总支出312417万元。政府性基金预算收支平衡。政府性基金支出简况如下：</w:t>
      </w:r>
    </w:p>
    <w:p w:rsidR="00B23D3B" w:rsidP="00B23D3B">
      <w:pPr>
        <w:spacing w:line="554" w:lineRule="exact"/>
        <w:ind w:firstLine="645"/>
        <w:rPr>
          <w:rFonts w:ascii="仿宋_GB2312" w:eastAsia="仿宋_GB2312" w:hAnsi="仿宋"/>
          <w:sz w:val="32"/>
          <w:szCs w:val="32"/>
        </w:rPr>
      </w:pPr>
      <w:r>
        <w:rPr>
          <w:rFonts w:ascii="仿宋_GB2312" w:eastAsia="仿宋_GB2312" w:hAnsi="仿宋" w:hint="eastAsia"/>
          <w:sz w:val="32"/>
          <w:szCs w:val="32"/>
        </w:rPr>
        <w:t>（1）债务支出14983万元。</w:t>
      </w:r>
    </w:p>
    <w:p w:rsidR="00B23D3B" w:rsidP="00B23D3B">
      <w:pPr>
        <w:spacing w:line="554" w:lineRule="exact"/>
        <w:ind w:firstLine="645"/>
        <w:rPr>
          <w:rFonts w:ascii="仿宋_GB2312" w:eastAsia="仿宋_GB2312" w:hAnsi="仿宋"/>
          <w:sz w:val="32"/>
          <w:szCs w:val="32"/>
        </w:rPr>
      </w:pPr>
      <w:r>
        <w:rPr>
          <w:rFonts w:ascii="仿宋_GB2312" w:eastAsia="仿宋_GB2312" w:hAnsi="仿宋" w:hint="eastAsia"/>
          <w:sz w:val="32"/>
          <w:szCs w:val="32"/>
        </w:rPr>
        <w:t>（2）土地开发相关支出76434万元。</w:t>
      </w:r>
    </w:p>
    <w:p w:rsidR="00B23D3B" w:rsidP="00B23D3B">
      <w:pPr>
        <w:spacing w:line="554" w:lineRule="exact"/>
        <w:ind w:firstLine="645"/>
        <w:rPr>
          <w:rFonts w:ascii="仿宋_GB2312" w:eastAsia="仿宋_GB2312" w:hAnsi="仿宋"/>
          <w:sz w:val="32"/>
          <w:szCs w:val="32"/>
        </w:rPr>
      </w:pPr>
      <w:r>
        <w:rPr>
          <w:rFonts w:ascii="仿宋_GB2312" w:eastAsia="仿宋_GB2312" w:hAnsi="仿宋" w:hint="eastAsia"/>
          <w:sz w:val="32"/>
          <w:szCs w:val="32"/>
        </w:rPr>
        <w:t>（3）环卫市场化服务费700万元。</w:t>
      </w:r>
    </w:p>
    <w:p w:rsidR="00B23D3B" w:rsidP="00B23D3B">
      <w:pPr>
        <w:spacing w:line="554" w:lineRule="exact"/>
        <w:ind w:firstLine="645"/>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3.国有资本经营预算</w:t>
      </w:r>
    </w:p>
    <w:p w:rsidR="00B23D3B" w:rsidP="00B23D3B">
      <w:pPr>
        <w:spacing w:line="554"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2022年国有资本经营预算收入拟安排53万元，全部为上年结转转移支付收入，国有资本经营支出拟安排53万元，国有资本经营收支平衡。</w:t>
      </w:r>
    </w:p>
    <w:p w:rsidR="00B23D3B" w:rsidP="00B23D3B">
      <w:pPr>
        <w:spacing w:line="554" w:lineRule="exact"/>
        <w:ind w:firstLine="645"/>
        <w:rPr>
          <w:rFonts w:ascii="仿宋_GB2312" w:eastAsia="仿宋_GB2312" w:hAnsi="仿宋"/>
          <w:b/>
          <w:sz w:val="32"/>
          <w:szCs w:val="32"/>
        </w:rPr>
      </w:pPr>
      <w:r>
        <w:rPr>
          <w:rFonts w:ascii="仿宋_GB2312" w:eastAsia="仿宋_GB2312" w:hAnsi="仿宋" w:hint="eastAsia"/>
          <w:b/>
          <w:sz w:val="32"/>
          <w:szCs w:val="32"/>
        </w:rPr>
        <w:t>4.社会保险基金预算</w:t>
      </w:r>
    </w:p>
    <w:p w:rsidR="00B23D3B" w:rsidP="00B23D3B">
      <w:pPr>
        <w:spacing w:line="554" w:lineRule="exact"/>
        <w:ind w:firstLine="645"/>
        <w:rPr>
          <w:rFonts w:ascii="仿宋_GB2312" w:eastAsia="仿宋_GB2312" w:hAnsi="仿宋"/>
          <w:sz w:val="32"/>
          <w:szCs w:val="32"/>
        </w:rPr>
      </w:pPr>
      <w:r>
        <w:rPr>
          <w:rFonts w:ascii="仿宋_GB2312" w:eastAsia="仿宋_GB2312" w:hAnsi="仿宋" w:hint="eastAsia"/>
          <w:sz w:val="32"/>
          <w:szCs w:val="32"/>
        </w:rPr>
        <w:t>2022年社会保险基金预算收入拟安排135025万元，安排上年结转社保基金支出32348万元，全区社会保险基金预算收入拟安排102677万元，社会保险基金支出拟安排99524万元，社会保险基金结余35501万元。</w:t>
      </w:r>
    </w:p>
    <w:p w:rsidR="00B23D3B" w:rsidP="00B23D3B">
      <w:pPr>
        <w:spacing w:line="554" w:lineRule="exact"/>
        <w:ind w:firstLine="640" w:firstLineChars="200"/>
        <w:rPr>
          <w:rFonts w:ascii="黑体" w:eastAsia="黑体" w:hAnsi="黑体"/>
          <w:sz w:val="32"/>
          <w:szCs w:val="32"/>
        </w:rPr>
      </w:pPr>
      <w:r>
        <w:rPr>
          <w:rFonts w:ascii="黑体" w:eastAsia="黑体" w:hAnsi="黑体" w:hint="eastAsia"/>
          <w:sz w:val="32"/>
          <w:szCs w:val="32"/>
        </w:rPr>
        <w:t>三、2022年财政重点工作</w:t>
      </w:r>
    </w:p>
    <w:p w:rsidR="00B23D3B" w:rsidP="00B23D3B">
      <w:pPr>
        <w:spacing w:line="554" w:lineRule="exact"/>
        <w:ind w:firstLine="640" w:firstLineChars="200"/>
        <w:rPr>
          <w:rFonts w:ascii="楷体_GB2312" w:eastAsia="楷体_GB2312" w:hAnsi="仿宋" w:cs="宋体"/>
          <w:sz w:val="32"/>
          <w:szCs w:val="32"/>
        </w:rPr>
      </w:pPr>
      <w:r>
        <w:rPr>
          <w:rFonts w:ascii="楷体_GB2312" w:eastAsia="楷体_GB2312" w:hAnsi="仿宋" w:cs="宋体" w:hint="eastAsia"/>
          <w:sz w:val="32"/>
          <w:szCs w:val="32"/>
        </w:rPr>
        <w:t>2</w:t>
      </w:r>
      <w:r>
        <w:rPr>
          <w:rFonts w:ascii="仿宋_GB2312" w:eastAsia="仿宋_GB2312" w:hAnsi="仿宋" w:cs="宋体" w:hint="eastAsia"/>
          <w:sz w:val="32"/>
          <w:szCs w:val="32"/>
        </w:rPr>
        <w:t>022年，我们将深入贯彻落实习近平总书记视察承德重要讲话指示精神，深化改革、扩大开放、促进发展，坚决落实区第九次党代会精神，围绕全区决策部署，坚持稳中求进总基调，强化预算执行管理，增强财政保障能力。</w:t>
      </w:r>
    </w:p>
    <w:p w:rsidR="00B23D3B" w:rsidP="00B23D3B">
      <w:pPr>
        <w:spacing w:line="554" w:lineRule="exact"/>
        <w:ind w:firstLine="640" w:firstLineChars="200"/>
        <w:rPr>
          <w:rFonts w:ascii="仿宋_GB2312" w:eastAsia="仿宋_GB2312" w:hAnsi="仿宋" w:cs="宋体"/>
          <w:sz w:val="32"/>
          <w:szCs w:val="32"/>
        </w:rPr>
      </w:pPr>
      <w:r>
        <w:rPr>
          <w:rFonts w:ascii="楷体_GB2312" w:eastAsia="楷体_GB2312" w:hAnsi="仿宋" w:cs="宋体" w:hint="eastAsia"/>
          <w:b/>
          <w:sz w:val="32"/>
          <w:szCs w:val="32"/>
        </w:rPr>
        <w:t>（一）进一步提高政治站位，坚持和加强党对财政工作的全面领导</w:t>
      </w:r>
      <w:r>
        <w:rPr>
          <w:rFonts w:ascii="仿宋_GB2312" w:eastAsia="仿宋_GB2312" w:hAnsi="仿宋" w:cs="宋体" w:hint="eastAsia"/>
          <w:b/>
          <w:sz w:val="32"/>
          <w:szCs w:val="32"/>
        </w:rPr>
        <w:t>。</w:t>
      </w:r>
      <w:r>
        <w:rPr>
          <w:rFonts w:ascii="仿宋_GB2312" w:eastAsia="仿宋_GB2312" w:hAnsi="仿宋" w:cs="宋体" w:hint="eastAsia"/>
          <w:sz w:val="32"/>
          <w:szCs w:val="32"/>
        </w:rPr>
        <w:t>坚决拥护“两个确立”，</w:t>
      </w:r>
      <w:r>
        <w:rPr>
          <w:rFonts w:ascii="仿宋_GB2312" w:eastAsia="仿宋_GB2312" w:hAnsi="仿宋" w:cs="宋体" w:hint="eastAsia"/>
          <w:sz w:val="32"/>
          <w:szCs w:val="32"/>
        </w:rPr>
        <w:t>增强“四个意识”、坚定“四个自信”、做到“两个维护”</w:t>
      </w:r>
      <w:r>
        <w:rPr>
          <w:rFonts w:ascii="仿宋_GB2312" w:eastAsia="仿宋_GB2312" w:hAnsi="仿宋" w:cs="宋体" w:hint="eastAsia"/>
          <w:sz w:val="32"/>
          <w:szCs w:val="32"/>
        </w:rPr>
        <w:t>，把党的领导贯穿</w:t>
      </w:r>
      <w:r>
        <w:rPr>
          <w:rFonts w:ascii="仿宋_GB2312" w:eastAsia="仿宋_GB2312" w:hAnsi="仿宋" w:cs="宋体" w:hint="eastAsia"/>
          <w:sz w:val="32"/>
          <w:szCs w:val="32"/>
        </w:rPr>
        <w:t>财政工作始终，不断提高</w:t>
      </w:r>
      <w:r>
        <w:rPr>
          <w:rFonts w:ascii="仿宋_GB2312" w:eastAsia="仿宋_GB2312" w:hAnsi="仿宋" w:cs="宋体" w:hint="eastAsia"/>
          <w:sz w:val="32"/>
          <w:szCs w:val="32"/>
        </w:rPr>
        <w:t>政治判断力、政治领悟力、政治执行力</w:t>
      </w:r>
      <w:r>
        <w:rPr>
          <w:rFonts w:ascii="仿宋_GB2312" w:eastAsia="仿宋_GB2312" w:hAnsi="仿宋" w:cs="宋体" w:hint="eastAsia"/>
          <w:sz w:val="32"/>
          <w:szCs w:val="32"/>
        </w:rPr>
        <w:t>，坚决做到不折不扣的落实中央、省、市、区各项决策部署。</w:t>
      </w:r>
    </w:p>
    <w:p w:rsidR="00B23D3B" w:rsidP="00B23D3B">
      <w:pPr>
        <w:spacing w:line="554" w:lineRule="exact"/>
        <w:ind w:firstLine="640" w:firstLineChars="200"/>
        <w:rPr>
          <w:rFonts w:ascii="仿宋_GB2312" w:eastAsia="仿宋_GB2312" w:hAnsi="仿宋" w:cs="宋体"/>
          <w:sz w:val="32"/>
          <w:szCs w:val="32"/>
        </w:rPr>
      </w:pPr>
      <w:r w:rsidRPr="00D04759">
        <w:rPr>
          <w:rFonts w:ascii="楷体_GB2312" w:eastAsia="楷体_GB2312" w:hAnsi="仿宋" w:cs="宋体" w:hint="eastAsia"/>
          <w:b/>
          <w:bCs/>
          <w:color w:val="000000" w:themeColor="text1"/>
          <w:sz w:val="32"/>
          <w:szCs w:val="32"/>
        </w:rPr>
        <w:t>（二）巩固和拓展减税</w:t>
      </w:r>
      <w:r>
        <w:rPr>
          <w:rFonts w:ascii="楷体_GB2312" w:eastAsia="楷体_GB2312" w:hAnsi="仿宋" w:cs="宋体" w:hint="eastAsia"/>
          <w:b/>
          <w:bCs/>
          <w:color w:val="000000" w:themeColor="text1"/>
          <w:sz w:val="32"/>
          <w:szCs w:val="32"/>
        </w:rPr>
        <w:t>降</w:t>
      </w:r>
      <w:r w:rsidRPr="00D04759">
        <w:rPr>
          <w:rFonts w:ascii="楷体_GB2312" w:eastAsia="楷体_GB2312" w:hAnsi="仿宋" w:cs="宋体" w:hint="eastAsia"/>
          <w:b/>
          <w:bCs/>
          <w:color w:val="000000" w:themeColor="text1"/>
          <w:sz w:val="32"/>
          <w:szCs w:val="32"/>
        </w:rPr>
        <w:t>费成效，推动发展</w:t>
      </w:r>
      <w:r>
        <w:rPr>
          <w:rFonts w:ascii="楷体_GB2312" w:eastAsia="楷体_GB2312" w:hAnsi="仿宋" w:cs="宋体" w:hint="eastAsia"/>
          <w:b/>
          <w:bCs/>
          <w:color w:val="000000" w:themeColor="text1"/>
          <w:sz w:val="32"/>
          <w:szCs w:val="32"/>
        </w:rPr>
        <w:t>提质增效</w:t>
      </w:r>
      <w:r w:rsidRPr="00D04759">
        <w:rPr>
          <w:rFonts w:ascii="楷体_GB2312" w:eastAsia="楷体_GB2312" w:hAnsi="仿宋" w:cs="宋体" w:hint="eastAsia"/>
          <w:b/>
          <w:color w:val="000000" w:themeColor="text1"/>
          <w:sz w:val="32"/>
          <w:szCs w:val="32"/>
        </w:rPr>
        <w:t>。</w:t>
      </w:r>
      <w:r>
        <w:rPr>
          <w:rFonts w:ascii="仿宋_GB2312" w:eastAsia="仿宋_GB2312" w:hAnsi="仿宋" w:cs="宋体" w:hint="eastAsia"/>
          <w:sz w:val="32"/>
          <w:szCs w:val="32"/>
        </w:rPr>
        <w:t>认真落实好各类减税降费政策，依法加强税费征管，创新税源管控模式，提升纳税服务水平，稳定现有财源。同时，加强预算执行管理，通过加快财政支出进度，区分轻重缓急支持事业发展，重点支持文化旅游、高端服务、医疗康养等主导产业发展，力争尽早实现收益，加快形成新的财源支撑，最大限度发挥财政支出对经济社会发展的拉动作用，努力建设稳定的财源基础。</w:t>
      </w:r>
    </w:p>
    <w:p w:rsidR="00B23D3B" w:rsidP="00B23D3B">
      <w:pPr>
        <w:spacing w:line="554" w:lineRule="exact"/>
        <w:ind w:firstLine="640" w:firstLineChars="200"/>
        <w:rPr>
          <w:rFonts w:ascii="楷体_GB2312" w:eastAsia="楷体_GB2312" w:hAnsi="仿宋" w:cs="宋体"/>
          <w:b/>
          <w:sz w:val="32"/>
          <w:szCs w:val="32"/>
        </w:rPr>
      </w:pPr>
      <w:r>
        <w:rPr>
          <w:rFonts w:ascii="楷体_GB2312" w:eastAsia="楷体_GB2312" w:hAnsi="楷体_GB2312" w:cs="楷体_GB2312" w:hint="eastAsia"/>
          <w:b/>
          <w:color w:val="000000"/>
          <w:sz w:val="32"/>
          <w:szCs w:val="32"/>
        </w:rPr>
        <w:t>（三）</w:t>
      </w:r>
      <w:r>
        <w:rPr>
          <w:rFonts w:ascii="楷体_GB2312" w:eastAsia="楷体_GB2312" w:hAnsi="仿宋" w:cs="宋体" w:hint="eastAsia"/>
          <w:b/>
          <w:sz w:val="32"/>
          <w:szCs w:val="32"/>
        </w:rPr>
        <w:t>加强基本民生保障兜牢底线，防范化解财政风险</w:t>
      </w:r>
      <w:r>
        <w:rPr>
          <w:rFonts w:ascii="仿宋_GB2312" w:eastAsia="仿宋_GB2312" w:hAnsi="仿宋" w:cs="宋体" w:hint="eastAsia"/>
          <w:b/>
          <w:sz w:val="32"/>
          <w:szCs w:val="32"/>
        </w:rPr>
        <w:t>。</w:t>
      </w:r>
      <w:r>
        <w:rPr>
          <w:rFonts w:ascii="仿宋_GB2312" w:eastAsia="仿宋_GB2312" w:hAnsi="仿宋" w:cs="宋体" w:hint="eastAsia"/>
          <w:sz w:val="32"/>
          <w:szCs w:val="32"/>
        </w:rPr>
        <w:t>牢牢守住“三保”底线，持续压缩一般性支出，科学调度资金，切实做好“保工资、保运转、保基本民生”工作，坚决守住不发生财政风险的“底线”。进一步加强政府性债务管控，完善政府性债务风险应急处置机制，依法依规安排政府债务及隐性债务还本付息，努力做好债务风险化解相关工作，确保不出现系统性区域性债务风险。</w:t>
      </w:r>
    </w:p>
    <w:p w:rsidR="00B23D3B" w:rsidP="00B23D3B">
      <w:pPr>
        <w:pStyle w:val="BodyText"/>
        <w:adjustRightInd w:val="0"/>
        <w:snapToGrid w:val="0"/>
        <w:spacing w:line="554" w:lineRule="exact"/>
        <w:ind w:firstLine="627" w:firstLineChars="196"/>
        <w:rPr>
          <w:rFonts w:ascii="仿宋_GB2312" w:eastAsia="仿宋_GB2312" w:hAnsi="楷体_GB2312" w:cs="楷体_GB2312"/>
          <w:color w:val="000000"/>
          <w:sz w:val="32"/>
          <w:szCs w:val="32"/>
        </w:rPr>
      </w:pPr>
      <w:r>
        <w:rPr>
          <w:rFonts w:ascii="楷体_GB2312" w:eastAsia="楷体_GB2312" w:hAnsi="楷体_GB2312" w:cs="楷体_GB2312" w:hint="eastAsia"/>
          <w:b/>
          <w:color w:val="000000"/>
          <w:sz w:val="32"/>
          <w:szCs w:val="32"/>
        </w:rPr>
        <w:t>（四）深化财政体制改革，构建全方位预算绩效管理格局</w:t>
      </w:r>
      <w:r>
        <w:rPr>
          <w:rFonts w:ascii="仿宋_GB2312" w:eastAsia="仿宋_GB2312" w:hAnsi="楷体_GB2312" w:cs="楷体_GB2312" w:hint="eastAsia"/>
          <w:b/>
          <w:color w:val="000000"/>
          <w:sz w:val="32"/>
          <w:szCs w:val="32"/>
        </w:rPr>
        <w:t>。</w:t>
      </w:r>
      <w:r>
        <w:rPr>
          <w:rFonts w:ascii="仿宋_GB2312" w:eastAsia="仿宋_GB2312" w:hint="eastAsia"/>
          <w:sz w:val="32"/>
          <w:szCs w:val="32"/>
        </w:rPr>
        <w:t>按照国家、省、市深化财税体制改革要求，集中力量攻坚，</w:t>
      </w:r>
      <w:r>
        <w:rPr>
          <w:rFonts w:ascii="仿宋_GB2312" w:eastAsia="仿宋_GB2312" w:hAnsi="楷体_GB2312" w:cs="楷体_GB2312" w:hint="eastAsia"/>
          <w:color w:val="000000"/>
          <w:sz w:val="32"/>
          <w:szCs w:val="32"/>
        </w:rPr>
        <w:t>重点稳妥推进预算管理改革、财政事权和支出责任划分改革、税制改革、政府采购等改革，加快构建符合双桥区实际的现代财政制度体系。重点巩固深化预算绩效管理改革成效，完善预算绩效指标和标准体系，健全评价结果应用和整改制度，对财政资金实行全方位、全过程、</w:t>
      </w:r>
      <w:r>
        <w:rPr>
          <w:rFonts w:ascii="仿宋_GB2312" w:eastAsia="仿宋_GB2312" w:hAnsi="楷体_GB2312" w:cs="楷体_GB2312" w:hint="eastAsia"/>
          <w:color w:val="000000"/>
          <w:sz w:val="32"/>
          <w:szCs w:val="32"/>
        </w:rPr>
        <w:t>全覆盖预算绩效管理，切实做到“花钱必问效、无效必问责”。</w:t>
      </w:r>
    </w:p>
    <w:p w:rsidR="00B23D3B" w:rsidP="00B23D3B">
      <w:pPr>
        <w:spacing w:line="554" w:lineRule="exact"/>
        <w:ind w:firstLine="640" w:firstLineChars="200"/>
        <w:rPr>
          <w:rFonts w:ascii="仿宋_GB2312" w:eastAsia="仿宋_GB2312" w:hAnsi="仿宋" w:cs="宋体"/>
          <w:sz w:val="32"/>
          <w:szCs w:val="32"/>
        </w:rPr>
      </w:pPr>
      <w:r>
        <w:rPr>
          <w:rFonts w:ascii="仿宋_GB2312" w:eastAsia="仿宋_GB2312" w:hAnsi="仿宋" w:hint="eastAsia"/>
          <w:sz w:val="32"/>
          <w:szCs w:val="32"/>
        </w:rPr>
        <w:t>各位代表，做好2022年的财政工作，使命光荣，责任重大。我们将</w:t>
      </w:r>
      <w:r>
        <w:rPr>
          <w:rFonts w:ascii="仿宋_GB2312" w:eastAsia="仿宋_GB2312" w:hAnsi="仿宋" w:cs="宋体" w:hint="eastAsia"/>
          <w:sz w:val="32"/>
          <w:szCs w:val="32"/>
        </w:rPr>
        <w:t>在区委的坚强领导下，</w:t>
      </w:r>
      <w:r>
        <w:rPr>
          <w:rFonts w:ascii="仿宋_GB2312" w:eastAsia="仿宋_GB2312" w:hAnsi="仿宋" w:hint="eastAsia"/>
          <w:sz w:val="32"/>
          <w:szCs w:val="32"/>
        </w:rPr>
        <w:t>在区人大和区政协的监督下，</w:t>
      </w:r>
      <w:r>
        <w:rPr>
          <w:rFonts w:ascii="仿宋_GB2312" w:eastAsia="仿宋_GB2312" w:hAnsi="仿宋" w:cs="宋体" w:hint="eastAsia"/>
          <w:sz w:val="32"/>
          <w:szCs w:val="32"/>
        </w:rPr>
        <w:t>以更加开阔的思路、更加有效的举措、更加务实的作风，</w:t>
      </w:r>
      <w:r>
        <w:rPr>
          <w:rFonts w:ascii="仿宋_GB2312" w:eastAsia="仿宋_GB2312" w:hAnsi="仿宋" w:cs="宋体" w:hint="eastAsia"/>
          <w:color w:val="000000" w:themeColor="text1"/>
          <w:sz w:val="32"/>
          <w:szCs w:val="32"/>
        </w:rPr>
        <w:t>落实区十一届人大二次</w:t>
      </w:r>
      <w:r>
        <w:rPr>
          <w:rFonts w:ascii="仿宋_GB2312" w:eastAsia="仿宋_GB2312" w:hAnsi="仿宋" w:cs="宋体" w:hint="eastAsia"/>
          <w:sz w:val="32"/>
          <w:szCs w:val="32"/>
        </w:rPr>
        <w:t>会议的决议和要求，努力完成各项目标任务，为开创新时代建设“首善之区、幸福双桥”作出新的贡献,</w:t>
      </w:r>
      <w:r w:rsidRPr="00D80939">
        <w:rPr>
          <w:rFonts w:ascii="仿宋_GB2312" w:eastAsia="仿宋_GB2312" w:hAnsi="Times New Roman" w:hint="eastAsia"/>
          <w:sz w:val="32"/>
          <w:szCs w:val="32"/>
        </w:rPr>
        <w:t xml:space="preserve"> </w:t>
      </w:r>
      <w:r>
        <w:rPr>
          <w:rFonts w:ascii="仿宋_GB2312" w:eastAsia="仿宋_GB2312" w:hAnsi="Times New Roman" w:cs="Times New Roman" w:hint="eastAsia"/>
          <w:sz w:val="32"/>
          <w:szCs w:val="32"/>
        </w:rPr>
        <w:t>以优异成绩迎接党的二十大胜利召开</w:t>
      </w:r>
      <w:r>
        <w:rPr>
          <w:rFonts w:ascii="仿宋_GB2312" w:eastAsia="仿宋_GB2312" w:hAnsi="仿宋" w:cs="宋体" w:hint="eastAsia"/>
          <w:sz w:val="32"/>
          <w:szCs w:val="32"/>
        </w:rPr>
        <w:t>！</w:t>
      </w:r>
    </w:p>
    <w:p w:rsidR="004358AB" w:rsidP="00D31D50">
      <w:pPr>
        <w:spacing w:line="220" w:lineRule="atLeast"/>
      </w:pPr>
    </w:p>
    <w:sectPr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4735F"/>
    <w:rsid w:val="008B1049"/>
    <w:rsid w:val="008B7726"/>
    <w:rsid w:val="0094461C"/>
    <w:rsid w:val="00A66F91"/>
    <w:rsid w:val="00B23D3B"/>
    <w:rsid w:val="00D04759"/>
    <w:rsid w:val="00D31D50"/>
    <w:rsid w:val="00D80939"/>
    <w:rsid w:val="00D913C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eastAsia="微软雅黑" w:asciiTheme="minorHAns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B23D3B"/>
    <w:pPr>
      <w:pBdr>
        <w:bottom w:val="single" w:sz="6" w:space="1" w:color="auto"/>
      </w:pBdr>
      <w:tabs>
        <w:tab w:val="center" w:pos="4153"/>
        <w:tab w:val="right" w:pos="8306"/>
      </w:tabs>
      <w:jc w:val="center"/>
    </w:pPr>
    <w:rPr>
      <w:sz w:val="18"/>
      <w:szCs w:val="18"/>
    </w:rPr>
  </w:style>
  <w:style w:type="character" w:customStyle="1" w:styleId="Char">
    <w:name w:val="页眉 Char"/>
    <w:basedOn w:val="DefaultParagraphFont"/>
    <w:link w:val="Header"/>
    <w:uiPriority w:val="99"/>
    <w:semiHidden/>
    <w:rsid w:val="00B23D3B"/>
    <w:rPr>
      <w:rFonts w:ascii="Tahoma" w:hAnsi="Tahoma"/>
      <w:sz w:val="18"/>
      <w:szCs w:val="18"/>
    </w:rPr>
  </w:style>
  <w:style w:type="paragraph" w:styleId="Footer">
    <w:name w:val="footer"/>
    <w:basedOn w:val="Normal"/>
    <w:link w:val="Char0"/>
    <w:uiPriority w:val="99"/>
    <w:semiHidden/>
    <w:unhideWhenUsed/>
    <w:rsid w:val="00B23D3B"/>
    <w:pPr>
      <w:tabs>
        <w:tab w:val="center" w:pos="4153"/>
        <w:tab w:val="right" w:pos="8306"/>
      </w:tabs>
    </w:pPr>
    <w:rPr>
      <w:sz w:val="18"/>
      <w:szCs w:val="18"/>
    </w:rPr>
  </w:style>
  <w:style w:type="character" w:customStyle="1" w:styleId="Char0">
    <w:name w:val="页脚 Char"/>
    <w:basedOn w:val="DefaultParagraphFont"/>
    <w:link w:val="Footer"/>
    <w:uiPriority w:val="99"/>
    <w:semiHidden/>
    <w:rsid w:val="00B23D3B"/>
    <w:rPr>
      <w:rFonts w:ascii="Tahoma" w:hAnsi="Tahoma"/>
      <w:sz w:val="18"/>
      <w:szCs w:val="18"/>
    </w:rPr>
  </w:style>
  <w:style w:type="paragraph" w:styleId="BodyText">
    <w:name w:val="Body Text"/>
    <w:basedOn w:val="Normal"/>
    <w:link w:val="Char1"/>
    <w:qFormat/>
    <w:rsid w:val="00B23D3B"/>
    <w:pPr>
      <w:widowControl w:val="0"/>
      <w:adjustRightInd/>
      <w:snapToGrid/>
      <w:spacing w:after="0"/>
      <w:jc w:val="both"/>
    </w:pPr>
    <w:rPr>
      <w:rFonts w:asciiTheme="minorHAnsi" w:eastAsiaTheme="minorEastAsia" w:hAnsiTheme="minorHAnsi"/>
      <w:kern w:val="2"/>
      <w:sz w:val="21"/>
    </w:rPr>
  </w:style>
  <w:style w:type="character" w:customStyle="1" w:styleId="Char1">
    <w:name w:val="正文文本 Char"/>
    <w:basedOn w:val="DefaultParagraphFont"/>
    <w:link w:val="BodyText"/>
    <w:qFormat/>
    <w:rsid w:val="00B23D3B"/>
    <w:rPr>
      <w:rFonts w:eastAsiaTheme="minorEastAsia"/>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2008-09-11T17:20:00Z</dcterms:created>
  <dcterms:modified xsi:type="dcterms:W3CDTF">2022-07-12T02:31:00Z</dcterms:modified>
</cp:coreProperties>
</file>