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河北省仅销售预包装食品备案凭证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lang w:eastAsia="zh-CN"/>
        </w:rPr>
        <w:t>根据《中华人民共和国食品安全法》《中华人民共和国食品安全法实施条例》等有关规定，下述仅销售预包装食品经营者已备案，备案信息如下：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备案号：</w:t>
      </w:r>
      <w:r>
        <w:rPr>
          <w:rFonts w:hint="eastAsia"/>
          <w:b/>
          <w:bCs/>
          <w:sz w:val="30"/>
          <w:szCs w:val="30"/>
          <w:lang w:val="en-US" w:eastAsia="zh-CN"/>
        </w:rPr>
        <w:t>YB2130802000256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eastAsia="宋体"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经营者名称：双桥区珑涵超市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统一社会信用代码：</w:t>
      </w:r>
      <w:r>
        <w:rPr>
          <w:rFonts w:hint="eastAsia"/>
          <w:b/>
          <w:bCs/>
          <w:sz w:val="30"/>
          <w:szCs w:val="30"/>
          <w:lang w:val="en-US" w:eastAsia="zh-CN"/>
        </w:rPr>
        <w:t>92130802MA0E6TQ58H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法定代表人（负责人）姓名：赵悦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住所：河北省承德市双桥区水泉沟镇高庙村</w:t>
      </w:r>
      <w:r>
        <w:rPr>
          <w:rFonts w:hint="eastAsia"/>
          <w:b/>
          <w:bCs/>
          <w:sz w:val="30"/>
          <w:szCs w:val="30"/>
          <w:lang w:val="en-US" w:eastAsia="zh-CN"/>
        </w:rPr>
        <w:t>2组183号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经营场所地址：河北省承德市双桥区水泉沟镇柳树底村蔬菜果品批发市场内</w:t>
      </w:r>
      <w:r>
        <w:rPr>
          <w:rFonts w:hint="eastAsia"/>
          <w:b/>
          <w:bCs/>
          <w:sz w:val="30"/>
          <w:szCs w:val="30"/>
          <w:lang w:val="en-US" w:eastAsia="zh-CN"/>
        </w:rPr>
        <w:t>219号库房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外设仓库地址：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经营面积（㎡）：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default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127635</wp:posOffset>
                </wp:positionV>
                <wp:extent cx="124460" cy="152400"/>
                <wp:effectExtent l="6350" t="6350" r="21590" b="12700"/>
                <wp:wrapNone/>
                <wp:docPr id="4" name="流程图: 联系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26" o:spid="_x0000_s1025" type="#_x0000_t120" style="width:9.8pt;height:12pt;margin-top:10.05pt;margin-left:251.1pt;mso-height-relative:page;mso-width-relative:page;position:absolute;z-index:251661312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125730</wp:posOffset>
                </wp:positionV>
                <wp:extent cx="124460" cy="152400"/>
                <wp:effectExtent l="6350" t="6350" r="21590" b="12700"/>
                <wp:wrapNone/>
                <wp:docPr id="3" name="流程图: 联系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120" style="width:9.8pt;height:12pt;margin-top:9.9pt;margin-left:155.85pt;mso-height-relative:page;mso-width-relative:page;position:absolute;z-index:251659264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是否网络销售：   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            否</w:t>
      </w:r>
    </w:p>
    <w:p>
      <w:pPr>
        <w:keepNext w:val="0"/>
        <w:keepLines w:val="0"/>
        <w:pageBreakBefore w:val="0"/>
        <w:widowControl w:val="0"/>
        <w:tabs>
          <w:tab w:val="left" w:pos="3447"/>
          <w:tab w:val="left" w:pos="3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138430</wp:posOffset>
                </wp:positionV>
                <wp:extent cx="124460" cy="152400"/>
                <wp:effectExtent l="6350" t="6350" r="21590" b="12700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7" type="#_x0000_t120" style="width:9.8pt;height:12pt;margin-top:10.9pt;margin-left:299.1pt;mso-height-relative:page;mso-width-relative:page;position:absolute;z-index:251663360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128905</wp:posOffset>
                </wp:positionV>
                <wp:extent cx="124460" cy="152400"/>
                <wp:effectExtent l="6350" t="6350" r="21590" b="12700"/>
                <wp:wrapNone/>
                <wp:docPr id="1" name="流程图: 联系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8" type="#_x0000_t120" style="width:9.8pt;height:12pt;margin-top:10.15pt;margin-left:200.8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是否使用自动售货设备：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    是            否</w:t>
      </w:r>
    </w:p>
    <w:p>
      <w:pPr>
        <w:keepNext w:val="0"/>
        <w:keepLines w:val="0"/>
        <w:pageBreakBefore w:val="0"/>
        <w:widowControl w:val="0"/>
        <w:tabs>
          <w:tab w:val="left" w:pos="3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自动售货设备摆放地址列表：（可另附并加盖备案机关公章）</w:t>
      </w:r>
    </w:p>
    <w:p>
      <w:pPr>
        <w:tabs>
          <w:tab w:val="left" w:pos="3657"/>
        </w:tabs>
        <w:jc w:val="left"/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 水泉沟镇行政综合服务中心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2021 年 11 月 18 日</w:t>
      </w:r>
    </w:p>
    <w:p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555C0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WPS_1558490323</cp:lastModifiedBy>
  <cp:revision>0</cp:revision>
  <cp:lastPrinted>2021-11-18T01:24:53Z</cp:lastPrinted>
  <dcterms:created xsi:type="dcterms:W3CDTF">2021-11-18T01:19:21Z</dcterms:created>
  <dcterms:modified xsi:type="dcterms:W3CDTF">2021-11-18T01:24:57Z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139B07B8EE0D4C5D9C3D07B1B128C147</vt:lpwstr>
  </property>
  <property fmtid="{D5CDD505-2E9C-101B-9397-08002B2CF9AE}" pid="3" name="KSOProductBuildVer">
    <vt:lpwstr>2052-11.1.0.11045</vt:lpwstr>
  </property>
</Properties>
</file>