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pStyle w:val="NormalWeb"/>
        <w:keepNext w:val="0"/>
        <w:keepLines w:val="0"/>
        <w:widowControl/>
        <w:suppressLineNumbers w:val="0"/>
        <w:spacing w:before="0" w:beforeAutospacing="0" w:after="0" w:afterAutospacing="0" w:line="555" w:lineRule="atLeast"/>
        <w:ind w:left="0" w:right="0" w:firstLine="0"/>
        <w:jc w:val="center"/>
        <w:rPr>
          <w:rFonts w:ascii="sans-serif" w:eastAsia="sans-serif" w:hAnsi="sans-serif" w:cs="sans-serif"/>
          <w:i w:val="0"/>
          <w:caps w:val="0"/>
          <w:color w:val="000000"/>
          <w:spacing w:val="0"/>
          <w:sz w:val="36"/>
          <w:szCs w:val="36"/>
        </w:rPr>
      </w:pPr>
      <w:r>
        <w:rPr>
          <w:rStyle w:val="Strong"/>
          <w:rFonts w:ascii="宋体" w:eastAsia="宋体" w:hAnsi="宋体" w:cs="宋体" w:hint="eastAsia"/>
          <w:i w:val="0"/>
          <w:caps w:val="0"/>
          <w:color w:val="000000"/>
          <w:spacing w:val="0"/>
          <w:sz w:val="36"/>
          <w:szCs w:val="36"/>
        </w:rPr>
        <w:t>承德市自然资源和规划局双桥区分局</w:t>
      </w:r>
    </w:p>
    <w:p>
      <w:pPr>
        <w:pStyle w:val="NormalWeb"/>
        <w:keepNext w:val="0"/>
        <w:keepLines w:val="0"/>
        <w:widowControl/>
        <w:suppressLineNumbers w:val="0"/>
        <w:spacing w:before="0" w:beforeAutospacing="0" w:after="0" w:afterAutospacing="0" w:line="555" w:lineRule="atLeast"/>
        <w:ind w:left="0" w:right="0" w:firstLine="0"/>
        <w:jc w:val="center"/>
        <w:rPr>
          <w:rFonts w:ascii="sans-serif" w:eastAsia="sans-serif" w:hAnsi="sans-serif" w:cs="sans-serif" w:hint="default"/>
          <w:i w:val="0"/>
          <w:caps w:val="0"/>
          <w:color w:val="000000"/>
          <w:spacing w:val="0"/>
          <w:sz w:val="36"/>
          <w:szCs w:val="36"/>
        </w:rPr>
      </w:pPr>
      <w:r>
        <w:rPr>
          <w:rStyle w:val="Strong"/>
          <w:rFonts w:ascii="宋体" w:eastAsia="宋体" w:hAnsi="宋体" w:cs="宋体" w:hint="eastAsia"/>
          <w:i w:val="0"/>
          <w:caps w:val="0"/>
          <w:color w:val="000000"/>
          <w:spacing w:val="0"/>
          <w:sz w:val="36"/>
          <w:szCs w:val="36"/>
        </w:rPr>
        <w:t>2022年政府信息公开工作年度报告</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24"/>
          <w:szCs w:val="24"/>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24"/>
          <w:szCs w:val="24"/>
        </w:rPr>
      </w:pPr>
      <w:r>
        <w:rPr>
          <w:rFonts w:ascii="宋体" w:eastAsia="宋体" w:hAnsi="宋体" w:cs="宋体" w:hint="eastAsia"/>
          <w:b/>
          <w:i w:val="0"/>
          <w:caps w:val="0"/>
          <w:color w:val="333333"/>
          <w:spacing w:val="0"/>
          <w:sz w:val="24"/>
          <w:szCs w:val="24"/>
          <w:shd w:val="clear" w:color="auto" w:fill="FFFFFF"/>
        </w:rPr>
        <w:t>一、总体情况</w:t>
      </w:r>
    </w:p>
    <w:p>
      <w:pPr>
        <w:pStyle w:val="NormalWeb"/>
        <w:keepNext w:val="0"/>
        <w:keepLines w:val="0"/>
        <w:widowControl/>
        <w:suppressLineNumbers w:val="0"/>
        <w:spacing w:before="0" w:beforeAutospacing="0" w:after="0" w:afterAutospacing="0" w:line="480" w:lineRule="atLeast"/>
        <w:ind w:left="0" w:right="0" w:firstLine="420"/>
        <w:rPr>
          <w:rFonts w:asciiTheme="minorEastAsia" w:eastAsiaTheme="minorEastAsia" w:hAnsiTheme="minorEastAsia" w:cstheme="minorEastAsia" w:hint="eastAsia"/>
          <w:i w:val="0"/>
          <w:caps w:val="0"/>
          <w:color w:val="000000"/>
          <w:spacing w:val="0"/>
          <w:sz w:val="24"/>
          <w:szCs w:val="24"/>
        </w:rPr>
      </w:pPr>
      <w:r>
        <w:rPr>
          <w:rFonts w:asciiTheme="minorEastAsia" w:eastAsiaTheme="minorEastAsia" w:hAnsiTheme="minorEastAsia" w:cstheme="minorEastAsia" w:hint="eastAsia"/>
          <w:i w:val="0"/>
          <w:caps w:val="0"/>
          <w:color w:val="000000"/>
          <w:spacing w:val="0"/>
          <w:sz w:val="24"/>
          <w:szCs w:val="24"/>
        </w:rPr>
        <w:t>按照双桥区政府要求，结合实际，我局认真开展了政府信息公开工作，现将工作情况报告如下：</w:t>
      </w:r>
    </w:p>
    <w:p>
      <w:pPr>
        <w:pStyle w:val="NormalWeb"/>
        <w:keepNext w:val="0"/>
        <w:keepLines w:val="0"/>
        <w:widowControl/>
        <w:suppressLineNumbers w:val="0"/>
        <w:spacing w:before="0" w:beforeAutospacing="0" w:after="0" w:afterAutospacing="0" w:line="405" w:lineRule="atLeast"/>
        <w:ind w:left="0" w:right="0" w:firstLine="420"/>
        <w:rPr>
          <w:rFonts w:asciiTheme="minorEastAsia" w:eastAsiaTheme="minorEastAsia" w:hAnsiTheme="minorEastAsia" w:cstheme="minorEastAsia" w:hint="eastAsia"/>
          <w:i w:val="0"/>
          <w:caps w:val="0"/>
          <w:color w:val="000000"/>
          <w:spacing w:val="0"/>
          <w:sz w:val="24"/>
          <w:szCs w:val="24"/>
        </w:rPr>
      </w:pPr>
      <w:r>
        <w:rPr>
          <w:rFonts w:asciiTheme="minorEastAsia" w:eastAsiaTheme="minorEastAsia" w:hAnsiTheme="minorEastAsia" w:cstheme="minorEastAsia" w:hint="eastAsia"/>
          <w:i w:val="0"/>
          <w:caps w:val="0"/>
          <w:color w:val="000000"/>
          <w:spacing w:val="0"/>
          <w:sz w:val="24"/>
          <w:szCs w:val="24"/>
        </w:rPr>
        <w:t>（一）、政务信息网上公开情况</w:t>
      </w:r>
    </w:p>
    <w:p>
      <w:pPr>
        <w:pStyle w:val="NormalWeb"/>
        <w:keepNext w:val="0"/>
        <w:keepLines w:val="0"/>
        <w:widowControl/>
        <w:suppressLineNumbers w:val="0"/>
        <w:spacing w:before="0" w:beforeAutospacing="0" w:after="0" w:afterAutospacing="0" w:line="480" w:lineRule="atLeast"/>
        <w:ind w:left="0" w:right="0" w:firstLine="660"/>
        <w:rPr>
          <w:rFonts w:asciiTheme="minorEastAsia" w:eastAsiaTheme="minorEastAsia" w:hAnsiTheme="minorEastAsia" w:cstheme="minorEastAsia" w:hint="eastAsia"/>
          <w:i w:val="0"/>
          <w:caps w:val="0"/>
          <w:color w:val="000000"/>
          <w:spacing w:val="0"/>
          <w:sz w:val="24"/>
          <w:szCs w:val="24"/>
        </w:rPr>
      </w:pPr>
      <w:r>
        <w:rPr>
          <w:rFonts w:asciiTheme="minorEastAsia" w:eastAsiaTheme="minorEastAsia" w:hAnsiTheme="minorEastAsia" w:cstheme="minorEastAsia" w:hint="eastAsia"/>
          <w:i w:val="0"/>
          <w:caps w:val="0"/>
          <w:color w:val="000000"/>
          <w:spacing w:val="0"/>
          <w:sz w:val="24"/>
          <w:szCs w:val="24"/>
        </w:rPr>
        <w:t>1</w:t>
      </w:r>
      <w:r>
        <w:rPr>
          <w:rStyle w:val="Strong"/>
          <w:rFonts w:asciiTheme="minorEastAsia" w:eastAsiaTheme="minorEastAsia" w:hAnsiTheme="minorEastAsia" w:cstheme="minorEastAsia" w:hint="eastAsia"/>
          <w:i w:val="0"/>
          <w:caps w:val="0"/>
          <w:color w:val="000000"/>
          <w:spacing w:val="0"/>
          <w:sz w:val="24"/>
          <w:szCs w:val="24"/>
        </w:rPr>
        <w:t>、政府网站公开情况。</w:t>
      </w:r>
      <w:r>
        <w:rPr>
          <w:rFonts w:asciiTheme="minorEastAsia" w:eastAsiaTheme="minorEastAsia" w:hAnsiTheme="minorEastAsia" w:cstheme="minorEastAsia" w:hint="eastAsia"/>
          <w:i w:val="0"/>
          <w:caps w:val="0"/>
          <w:color w:val="000000"/>
          <w:spacing w:val="0"/>
          <w:sz w:val="24"/>
          <w:szCs w:val="24"/>
        </w:rPr>
        <w:t>我局对区政府网站政务信息公开情况进行了梳理。2022年，我局在区政府门户网站公开信息共14条。</w:t>
      </w:r>
    </w:p>
    <w:p>
      <w:pPr>
        <w:pStyle w:val="NormalWeb"/>
        <w:keepNext w:val="0"/>
        <w:keepLines w:val="0"/>
        <w:widowControl/>
        <w:suppressLineNumbers w:val="0"/>
        <w:spacing w:before="0" w:beforeAutospacing="0" w:after="0" w:afterAutospacing="0" w:line="480" w:lineRule="atLeast"/>
        <w:ind w:left="0" w:right="0" w:firstLine="645"/>
        <w:rPr>
          <w:rFonts w:asciiTheme="minorEastAsia" w:eastAsiaTheme="minorEastAsia" w:hAnsiTheme="minorEastAsia" w:cstheme="minorEastAsia" w:hint="eastAsia"/>
          <w:i w:val="0"/>
          <w:caps w:val="0"/>
          <w:color w:val="000000"/>
          <w:spacing w:val="0"/>
          <w:sz w:val="24"/>
          <w:szCs w:val="24"/>
        </w:rPr>
      </w:pPr>
      <w:r>
        <w:rPr>
          <w:rFonts w:asciiTheme="minorEastAsia" w:eastAsiaTheme="minorEastAsia" w:hAnsiTheme="minorEastAsia" w:cstheme="minorEastAsia" w:hint="eastAsia"/>
          <w:i w:val="0"/>
          <w:caps w:val="0"/>
          <w:color w:val="000000"/>
          <w:spacing w:val="0"/>
          <w:sz w:val="24"/>
          <w:szCs w:val="24"/>
        </w:rPr>
        <w:t>2、</w:t>
      </w:r>
      <w:r>
        <w:rPr>
          <w:rStyle w:val="Strong"/>
          <w:rFonts w:asciiTheme="minorEastAsia" w:eastAsiaTheme="minorEastAsia" w:hAnsiTheme="minorEastAsia" w:cstheme="minorEastAsia" w:hint="eastAsia"/>
          <w:i w:val="0"/>
          <w:caps w:val="0"/>
          <w:color w:val="000000"/>
          <w:spacing w:val="0"/>
          <w:sz w:val="24"/>
          <w:szCs w:val="24"/>
        </w:rPr>
        <w:t>网上审批公开情况。</w:t>
      </w:r>
      <w:r>
        <w:rPr>
          <w:rFonts w:asciiTheme="minorEastAsia" w:eastAsiaTheme="minorEastAsia" w:hAnsiTheme="minorEastAsia" w:cstheme="minorEastAsia" w:hint="eastAsia"/>
          <w:i w:val="0"/>
          <w:caps w:val="0"/>
          <w:color w:val="000000"/>
          <w:spacing w:val="0"/>
          <w:sz w:val="24"/>
          <w:szCs w:val="24"/>
        </w:rPr>
        <w:t>按照区纪委监察局电子政务电子监察工作要求，我局及时印发了关于加强政务公开、政务服务及行政效能建设工作的通知，在年初确定的党风廉政建设责任分工意见中明确提出要大力推进行政权力公开透明运行，及时清理和明确各类权力事项，制定行政许可、非行政许可审批、行政监管等行政权力的办理流程图，将办理事项的法律依据、办理时限、申报材料、收费标准等全面公开，规范权力运行的监督机制。认真开展了行政权力审批事项清理及清单编制工作，目前我局权力清单、责任清单已上报区编办并在区政府网站公开。</w:t>
      </w:r>
    </w:p>
    <w:p>
      <w:pPr>
        <w:pStyle w:val="NormalWeb"/>
        <w:keepNext w:val="0"/>
        <w:keepLines w:val="0"/>
        <w:widowControl/>
        <w:suppressLineNumbers w:val="0"/>
        <w:spacing w:before="0" w:beforeAutospacing="0" w:after="0" w:afterAutospacing="0" w:line="480" w:lineRule="atLeast"/>
        <w:ind w:left="0" w:right="0" w:firstLine="525"/>
        <w:rPr>
          <w:rFonts w:asciiTheme="minorEastAsia" w:eastAsiaTheme="minorEastAsia" w:hAnsiTheme="minorEastAsia" w:cstheme="minorEastAsia" w:hint="eastAsia"/>
          <w:i w:val="0"/>
          <w:caps w:val="0"/>
          <w:color w:val="000000"/>
          <w:spacing w:val="0"/>
          <w:sz w:val="24"/>
          <w:szCs w:val="24"/>
        </w:rPr>
      </w:pPr>
      <w:r>
        <w:rPr>
          <w:rStyle w:val="Strong"/>
          <w:rFonts w:asciiTheme="minorEastAsia" w:eastAsiaTheme="minorEastAsia" w:hAnsiTheme="minorEastAsia" w:cstheme="minorEastAsia" w:hint="eastAsia"/>
          <w:i w:val="0"/>
          <w:caps w:val="0"/>
          <w:color w:val="000000"/>
          <w:spacing w:val="0"/>
          <w:sz w:val="24"/>
          <w:szCs w:val="24"/>
        </w:rPr>
        <w:t>3、其他信息公开情况。</w:t>
      </w:r>
      <w:r>
        <w:rPr>
          <w:rFonts w:asciiTheme="minorEastAsia" w:eastAsiaTheme="minorEastAsia" w:hAnsiTheme="minorEastAsia" w:cstheme="minorEastAsia" w:hint="eastAsia"/>
          <w:i w:val="0"/>
          <w:caps w:val="0"/>
          <w:color w:val="000000"/>
          <w:spacing w:val="0"/>
          <w:sz w:val="24"/>
          <w:szCs w:val="24"/>
        </w:rPr>
        <w:t>我局工作人员在实行执法检查、行政强制措施及行政处罚具体行政行为时，做到向行政相对人出示执法证件、表明执法身份和执法权限；告知所属部门，执法检查的内容、要求、目的，行政相对人依法享有的权利和应当履行的义务；告知行政相对人违法行为的事实、处罚依据、处罚结果；告知行政相对人不配合、阻碍行政强制措施及不履行行政处罚所承担的法律责任。同时，要求执法人员在实施行政管理的始末，做到有礼有节，严格执法程序，端正执法理念，做到依法执法、文明执法，保证了行政执法行为的透明度，从根本上杜绝了错案的发生。</w:t>
      </w:r>
    </w:p>
    <w:p>
      <w:pPr>
        <w:pStyle w:val="NormalWeb"/>
        <w:keepNext w:val="0"/>
        <w:keepLines w:val="0"/>
        <w:widowControl/>
        <w:suppressLineNumbers w:val="0"/>
        <w:spacing w:before="0" w:beforeAutospacing="0" w:after="0" w:afterAutospacing="0" w:line="480" w:lineRule="atLeast"/>
        <w:ind w:left="0" w:right="0" w:firstLine="420"/>
        <w:rPr>
          <w:rFonts w:asciiTheme="minorEastAsia" w:eastAsiaTheme="minorEastAsia" w:hAnsiTheme="minorEastAsia" w:cstheme="minorEastAsia" w:hint="eastAsia"/>
          <w:i w:val="0"/>
          <w:caps w:val="0"/>
          <w:color w:val="000000"/>
          <w:spacing w:val="0"/>
          <w:sz w:val="24"/>
          <w:szCs w:val="24"/>
        </w:rPr>
      </w:pPr>
      <w:r>
        <w:rPr>
          <w:rFonts w:asciiTheme="minorEastAsia" w:eastAsiaTheme="minorEastAsia" w:hAnsiTheme="minorEastAsia" w:cstheme="minorEastAsia" w:hint="eastAsia"/>
          <w:i w:val="0"/>
          <w:caps w:val="0"/>
          <w:color w:val="000000"/>
          <w:spacing w:val="0"/>
          <w:sz w:val="24"/>
          <w:szCs w:val="24"/>
        </w:rPr>
        <w:t>（二）、网站安全情况</w:t>
      </w:r>
    </w:p>
    <w:p>
      <w:pPr>
        <w:pStyle w:val="NormalWeb"/>
        <w:keepNext w:val="0"/>
        <w:keepLines w:val="0"/>
        <w:widowControl/>
        <w:suppressLineNumbers w:val="0"/>
        <w:spacing w:before="0" w:beforeAutospacing="0" w:after="0" w:afterAutospacing="0" w:line="420" w:lineRule="atLeast"/>
        <w:ind w:left="0" w:right="0" w:firstLine="420"/>
        <w:rPr>
          <w:rFonts w:ascii="宋体" w:eastAsia="宋体" w:hAnsi="宋体" w:cs="宋体" w:hint="eastAsia"/>
          <w:i w:val="0"/>
          <w:caps w:val="0"/>
          <w:color w:val="333333"/>
          <w:spacing w:val="0"/>
          <w:sz w:val="24"/>
          <w:szCs w:val="24"/>
        </w:rPr>
      </w:pPr>
      <w:r>
        <w:rPr>
          <w:rFonts w:asciiTheme="minorEastAsia" w:eastAsiaTheme="minorEastAsia" w:hAnsiTheme="minorEastAsia" w:cstheme="minorEastAsia" w:hint="eastAsia"/>
          <w:i w:val="0"/>
          <w:caps w:val="0"/>
          <w:color w:val="000000"/>
          <w:spacing w:val="0"/>
          <w:sz w:val="24"/>
          <w:szCs w:val="24"/>
        </w:rPr>
        <w:t>定期做好备份工作，对网站上公布的信息做好存档、留底工作。平时的网站维护和日常运营，以及网站的操作等，都注意安全的问题，保证网站安全的运营。目前没有发现任何安全隐患。</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24"/>
          <w:szCs w:val="24"/>
        </w:rPr>
      </w:pPr>
      <w:r>
        <w:rPr>
          <w:rFonts w:ascii="宋体" w:eastAsia="宋体" w:hAnsi="宋体" w:cs="宋体" w:hint="eastAsia"/>
          <w:b/>
          <w:i w:val="0"/>
          <w:caps w:val="0"/>
          <w:color w:val="333333"/>
          <w:spacing w:val="0"/>
          <w:sz w:val="24"/>
          <w:szCs w:val="24"/>
          <w:shd w:val="clear" w:color="auto" w:fill="FFFFFF"/>
        </w:rPr>
        <w:t>二、主动公开政府信息情况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jc w:val="both"/>
        <w:rPr>
          <w:rFonts w:ascii="宋体" w:eastAsia="宋体" w:hAnsi="宋体" w:cs="宋体" w:hint="eastAsia"/>
          <w:i w:val="0"/>
          <w:caps w:val="0"/>
          <w:color w:val="333333"/>
          <w:spacing w:val="0"/>
          <w:sz w:val="24"/>
          <w:szCs w:val="24"/>
        </w:rPr>
      </w:pPr>
    </w:p>
    <w:tbl>
      <w:tblPr>
        <w:tblStyle w:val="TableNormal"/>
        <w:tblW w:w="96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
      <w:tblGrid>
        <w:gridCol w:w="2415"/>
        <w:gridCol w:w="2415"/>
        <w:gridCol w:w="2415"/>
        <w:gridCol w:w="2415"/>
      </w:tblGrid>
      <w:tr>
        <w:tblPrEx>
          <w:tblW w:w="96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565"/>
          <w:jc w:val="center"/>
        </w:trPr>
        <w:tc>
          <w:tcPr>
            <w:tcW w:w="966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color w:val="000000"/>
                <w:kern w:val="0"/>
                <w:sz w:val="20"/>
                <w:szCs w:val="20"/>
                <w:lang w:val="en-US" w:eastAsia="zh-CN" w:bidi="ar"/>
              </w:rPr>
              <w:t>第二十条第（一）项</w:t>
            </w:r>
          </w:p>
        </w:tc>
      </w:tr>
      <w:tr>
        <w:tblPrEx>
          <w:tblW w:w="9660" w:type="dxa"/>
          <w:jc w:val="center"/>
          <w:shd w:val="clear" w:color="auto" w:fill="auto"/>
          <w:tblCellMar>
            <w:top w:w="0" w:type="dxa"/>
            <w:left w:w="0" w:type="dxa"/>
            <w:bottom w:w="0" w:type="dxa"/>
            <w:right w:w="0" w:type="dxa"/>
          </w:tblCellMar>
        </w:tblPrEx>
        <w:trPr>
          <w:trHeight w:val="565"/>
          <w:jc w:val="center"/>
        </w:trPr>
        <w:tc>
          <w:tcPr>
            <w:tcW w:w="24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color w:val="000000"/>
                <w:kern w:val="0"/>
                <w:sz w:val="20"/>
                <w:szCs w:val="20"/>
                <w:lang w:val="en-US" w:eastAsia="zh-CN" w:bidi="ar"/>
              </w:rPr>
              <w:t>信息内容</w:t>
            </w:r>
          </w:p>
        </w:tc>
        <w:tc>
          <w:tcPr>
            <w:tcW w:w="241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color w:val="000000"/>
                <w:kern w:val="0"/>
                <w:sz w:val="20"/>
                <w:szCs w:val="20"/>
                <w:lang w:val="en-US" w:eastAsia="zh-CN" w:bidi="ar"/>
              </w:rPr>
              <w:t>本年</w:t>
            </w:r>
            <w:r>
              <w:rPr>
                <w:rFonts w:ascii="宋体" w:eastAsia="宋体" w:hAnsi="宋体" w:cs="宋体" w:hint="eastAsia"/>
                <w:bCs/>
                <w:kern w:val="0"/>
                <w:sz w:val="20"/>
                <w:szCs w:val="20"/>
                <w:lang w:val="en-US" w:eastAsia="zh-CN" w:bidi="ar"/>
              </w:rPr>
              <w:t>制发件数</w:t>
            </w:r>
          </w:p>
        </w:tc>
        <w:tc>
          <w:tcPr>
            <w:tcW w:w="241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color w:val="000000"/>
                <w:kern w:val="0"/>
                <w:sz w:val="20"/>
                <w:szCs w:val="20"/>
                <w:lang w:val="en-US" w:eastAsia="zh-CN" w:bidi="ar"/>
              </w:rPr>
              <w:t>本年废止件数</w:t>
            </w:r>
          </w:p>
        </w:tc>
        <w:tc>
          <w:tcPr>
            <w:tcW w:w="241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color w:val="000000"/>
                <w:kern w:val="0"/>
                <w:sz w:val="20"/>
                <w:szCs w:val="20"/>
                <w:lang w:val="en-US" w:eastAsia="zh-CN" w:bidi="ar"/>
              </w:rPr>
              <w:t>现行有效件</w:t>
            </w:r>
            <w:r>
              <w:rPr>
                <w:rFonts w:ascii="宋体" w:eastAsia="宋体" w:hAnsi="宋体" w:cs="宋体" w:hint="eastAsia"/>
                <w:bCs/>
                <w:kern w:val="0"/>
                <w:sz w:val="20"/>
                <w:szCs w:val="20"/>
                <w:lang w:val="en-US" w:eastAsia="zh-CN" w:bidi="ar"/>
              </w:rPr>
              <w:t>数</w:t>
            </w:r>
          </w:p>
        </w:tc>
      </w:tr>
      <w:tr>
        <w:tblPrEx>
          <w:tblW w:w="9660" w:type="dxa"/>
          <w:jc w:val="center"/>
          <w:shd w:val="clear" w:color="auto" w:fill="auto"/>
          <w:tblCellMar>
            <w:top w:w="0" w:type="dxa"/>
            <w:left w:w="0" w:type="dxa"/>
            <w:bottom w:w="0" w:type="dxa"/>
            <w:right w:w="0" w:type="dxa"/>
          </w:tblCellMar>
        </w:tblPrEx>
        <w:trPr>
          <w:trHeight w:val="565"/>
          <w:jc w:val="center"/>
        </w:trPr>
        <w:tc>
          <w:tcPr>
            <w:tcW w:w="24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color w:val="000000"/>
                <w:kern w:val="0"/>
                <w:sz w:val="20"/>
                <w:szCs w:val="20"/>
                <w:lang w:val="en-US" w:eastAsia="zh-CN" w:bidi="ar"/>
              </w:rPr>
              <w:t>规章</w:t>
            </w:r>
          </w:p>
        </w:tc>
        <w:tc>
          <w:tcPr>
            <w:tcW w:w="241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hint="default"/>
                <w:lang w:val="en"/>
              </w:rPr>
            </w:pPr>
            <w:r>
              <w:rPr>
                <w:rFonts w:ascii="宋体" w:eastAsia="宋体" w:hAnsi="宋体" w:cs="宋体" w:hint="eastAsia"/>
                <w:bCs/>
                <w:color w:val="000000"/>
                <w:kern w:val="0"/>
                <w:sz w:val="20"/>
                <w:szCs w:val="20"/>
                <w:lang w:val="en-US" w:eastAsia="zh-CN" w:bidi="ar"/>
              </w:rPr>
              <w:t>　　</w:t>
            </w:r>
            <w:r>
              <w:rPr>
                <w:rFonts w:ascii="宋体" w:eastAsia="宋体" w:hAnsi="宋体" w:cs="宋体" w:hint="default"/>
                <w:bCs/>
                <w:color w:val="000000"/>
                <w:kern w:val="0"/>
                <w:sz w:val="20"/>
                <w:szCs w:val="20"/>
                <w:lang w:val="en" w:eastAsia="zh-CN" w:bidi="ar"/>
              </w:rPr>
              <w:t>0</w:t>
            </w:r>
          </w:p>
        </w:tc>
        <w:tc>
          <w:tcPr>
            <w:tcW w:w="241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hint="default"/>
                <w:lang w:val="en"/>
              </w:rPr>
            </w:pPr>
            <w:r>
              <w:rPr>
                <w:rFonts w:ascii="宋体" w:eastAsia="宋体" w:hAnsi="宋体" w:cs="宋体" w:hint="default"/>
                <w:bCs/>
                <w:color w:val="000000"/>
                <w:kern w:val="0"/>
                <w:sz w:val="20"/>
                <w:szCs w:val="20"/>
                <w:lang w:val="en" w:eastAsia="zh-CN" w:bidi="ar"/>
              </w:rPr>
              <w:t>0</w:t>
            </w:r>
          </w:p>
        </w:tc>
        <w:tc>
          <w:tcPr>
            <w:tcW w:w="241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r>
      <w:tr>
        <w:tblPrEx>
          <w:tblW w:w="9660" w:type="dxa"/>
          <w:jc w:val="center"/>
          <w:shd w:val="clear" w:color="auto" w:fill="auto"/>
          <w:tblCellMar>
            <w:top w:w="0" w:type="dxa"/>
            <w:left w:w="0" w:type="dxa"/>
            <w:bottom w:w="0" w:type="dxa"/>
            <w:right w:w="0" w:type="dxa"/>
          </w:tblCellMar>
        </w:tblPrEx>
        <w:trPr>
          <w:trHeight w:val="565"/>
          <w:jc w:val="center"/>
        </w:trPr>
        <w:tc>
          <w:tcPr>
            <w:tcW w:w="24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color w:val="000000"/>
                <w:kern w:val="0"/>
                <w:sz w:val="20"/>
                <w:szCs w:val="20"/>
                <w:lang w:val="en-US" w:eastAsia="zh-CN" w:bidi="ar"/>
              </w:rPr>
              <w:t>行政规范性文件</w:t>
            </w:r>
          </w:p>
        </w:tc>
        <w:tc>
          <w:tcPr>
            <w:tcW w:w="241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hint="default"/>
                <w:lang w:val="en"/>
              </w:rPr>
            </w:pPr>
            <w:r>
              <w:rPr>
                <w:rFonts w:ascii="宋体" w:eastAsia="宋体" w:hAnsi="宋体" w:cs="宋体" w:hint="default"/>
                <w:bCs/>
                <w:color w:val="000000"/>
                <w:kern w:val="0"/>
                <w:sz w:val="20"/>
                <w:szCs w:val="20"/>
                <w:lang w:val="en" w:eastAsia="zh-CN" w:bidi="ar"/>
              </w:rPr>
              <w:t>0</w:t>
            </w:r>
          </w:p>
        </w:tc>
        <w:tc>
          <w:tcPr>
            <w:tcW w:w="241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hint="default"/>
                <w:lang w:val="en"/>
              </w:rPr>
            </w:pPr>
            <w:r>
              <w:rPr>
                <w:rFonts w:ascii="宋体" w:eastAsia="宋体" w:hAnsi="宋体" w:cs="宋体" w:hint="default"/>
                <w:bCs/>
                <w:color w:val="000000"/>
                <w:kern w:val="0"/>
                <w:sz w:val="20"/>
                <w:szCs w:val="20"/>
                <w:lang w:val="en" w:eastAsia="zh-CN" w:bidi="ar"/>
              </w:rPr>
              <w:t>0</w:t>
            </w:r>
          </w:p>
        </w:tc>
        <w:tc>
          <w:tcPr>
            <w:tcW w:w="241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r>
      <w:tr>
        <w:tblPrEx>
          <w:tblW w:w="9660" w:type="dxa"/>
          <w:jc w:val="center"/>
          <w:shd w:val="clear" w:color="auto" w:fill="auto"/>
          <w:tblCellMar>
            <w:top w:w="0" w:type="dxa"/>
            <w:left w:w="0" w:type="dxa"/>
            <w:bottom w:w="0" w:type="dxa"/>
            <w:right w:w="0" w:type="dxa"/>
          </w:tblCellMar>
        </w:tblPrEx>
        <w:trPr>
          <w:trHeight w:val="565"/>
          <w:jc w:val="center"/>
        </w:trPr>
        <w:tc>
          <w:tcPr>
            <w:tcW w:w="966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color w:val="000000"/>
                <w:kern w:val="0"/>
                <w:sz w:val="20"/>
                <w:szCs w:val="20"/>
                <w:lang w:val="en-US" w:eastAsia="zh-CN" w:bidi="ar"/>
              </w:rPr>
              <w:t>第二十条第（五）项</w:t>
            </w:r>
          </w:p>
        </w:tc>
      </w:tr>
      <w:tr>
        <w:tblPrEx>
          <w:tblW w:w="9660" w:type="dxa"/>
          <w:jc w:val="center"/>
          <w:shd w:val="clear" w:color="auto" w:fill="auto"/>
          <w:tblCellMar>
            <w:top w:w="0" w:type="dxa"/>
            <w:left w:w="0" w:type="dxa"/>
            <w:bottom w:w="0" w:type="dxa"/>
            <w:right w:w="0" w:type="dxa"/>
          </w:tblCellMar>
        </w:tblPrEx>
        <w:trPr>
          <w:trHeight w:val="565"/>
          <w:jc w:val="center"/>
        </w:trPr>
        <w:tc>
          <w:tcPr>
            <w:tcW w:w="24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color w:val="000000"/>
                <w:kern w:val="0"/>
                <w:sz w:val="20"/>
                <w:szCs w:val="20"/>
                <w:lang w:val="en-US" w:eastAsia="zh-CN" w:bidi="ar"/>
              </w:rPr>
              <w:t>信息内容</w:t>
            </w:r>
          </w:p>
        </w:tc>
        <w:tc>
          <w:tcPr>
            <w:tcW w:w="724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color w:val="000000"/>
                <w:kern w:val="0"/>
                <w:sz w:val="20"/>
                <w:szCs w:val="20"/>
                <w:lang w:val="en-US" w:eastAsia="zh-CN" w:bidi="ar"/>
              </w:rPr>
              <w:t>本年处理决定数量</w:t>
            </w:r>
          </w:p>
        </w:tc>
      </w:tr>
      <w:tr>
        <w:tblPrEx>
          <w:tblW w:w="9660" w:type="dxa"/>
          <w:jc w:val="center"/>
          <w:shd w:val="clear" w:color="auto" w:fill="auto"/>
          <w:tblCellMar>
            <w:top w:w="0" w:type="dxa"/>
            <w:left w:w="0" w:type="dxa"/>
            <w:bottom w:w="0" w:type="dxa"/>
            <w:right w:w="0" w:type="dxa"/>
          </w:tblCellMar>
        </w:tblPrEx>
        <w:trPr>
          <w:trHeight w:val="565"/>
          <w:jc w:val="center"/>
        </w:trPr>
        <w:tc>
          <w:tcPr>
            <w:tcW w:w="24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color w:val="000000"/>
                <w:kern w:val="0"/>
                <w:sz w:val="20"/>
                <w:szCs w:val="20"/>
                <w:lang w:val="en-US" w:eastAsia="zh-CN" w:bidi="ar"/>
              </w:rPr>
              <w:t>行政许可</w:t>
            </w:r>
          </w:p>
        </w:tc>
        <w:tc>
          <w:tcPr>
            <w:tcW w:w="724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hint="default"/>
                <w:lang w:val="en"/>
              </w:rPr>
            </w:pPr>
            <w:r>
              <w:rPr>
                <w:rFonts w:ascii="Calibri" w:hAnsi="Calibri" w:cs="Calibri" w:hint="default"/>
                <w:bCs/>
                <w:kern w:val="0"/>
                <w:sz w:val="21"/>
                <w:szCs w:val="21"/>
                <w:lang w:val="en" w:eastAsia="zh-CN" w:bidi="ar"/>
              </w:rPr>
              <w:t>0</w:t>
            </w:r>
          </w:p>
        </w:tc>
      </w:tr>
      <w:tr>
        <w:tblPrEx>
          <w:tblW w:w="9660" w:type="dxa"/>
          <w:jc w:val="center"/>
          <w:shd w:val="clear" w:color="auto" w:fill="auto"/>
          <w:tblCellMar>
            <w:top w:w="0" w:type="dxa"/>
            <w:left w:w="0" w:type="dxa"/>
            <w:bottom w:w="0" w:type="dxa"/>
            <w:right w:w="0" w:type="dxa"/>
          </w:tblCellMar>
        </w:tblPrEx>
        <w:trPr>
          <w:trHeight w:val="565"/>
          <w:jc w:val="center"/>
        </w:trPr>
        <w:tc>
          <w:tcPr>
            <w:tcW w:w="966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color w:val="000000"/>
                <w:kern w:val="0"/>
                <w:sz w:val="20"/>
                <w:szCs w:val="20"/>
                <w:lang w:val="en-US" w:eastAsia="zh-CN" w:bidi="ar"/>
              </w:rPr>
              <w:t>第二十条第（六）项</w:t>
            </w:r>
          </w:p>
        </w:tc>
      </w:tr>
      <w:tr>
        <w:tblPrEx>
          <w:tblW w:w="9660" w:type="dxa"/>
          <w:jc w:val="center"/>
          <w:shd w:val="clear" w:color="auto" w:fill="auto"/>
          <w:tblCellMar>
            <w:top w:w="0" w:type="dxa"/>
            <w:left w:w="0" w:type="dxa"/>
            <w:bottom w:w="0" w:type="dxa"/>
            <w:right w:w="0" w:type="dxa"/>
          </w:tblCellMar>
        </w:tblPrEx>
        <w:trPr>
          <w:trHeight w:val="565"/>
          <w:jc w:val="center"/>
        </w:trPr>
        <w:tc>
          <w:tcPr>
            <w:tcW w:w="24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color w:val="000000"/>
                <w:kern w:val="0"/>
                <w:sz w:val="20"/>
                <w:szCs w:val="20"/>
                <w:lang w:val="en-US" w:eastAsia="zh-CN" w:bidi="ar"/>
              </w:rPr>
              <w:t>信息内容</w:t>
            </w:r>
          </w:p>
        </w:tc>
        <w:tc>
          <w:tcPr>
            <w:tcW w:w="724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color w:val="000000"/>
                <w:kern w:val="0"/>
                <w:sz w:val="20"/>
                <w:szCs w:val="20"/>
                <w:lang w:val="en-US" w:eastAsia="zh-CN" w:bidi="ar"/>
              </w:rPr>
              <w:t>本年处理决定数量</w:t>
            </w:r>
          </w:p>
        </w:tc>
      </w:tr>
      <w:tr>
        <w:tblPrEx>
          <w:tblW w:w="9660" w:type="dxa"/>
          <w:jc w:val="center"/>
          <w:shd w:val="clear" w:color="auto" w:fill="auto"/>
          <w:tblCellMar>
            <w:top w:w="0" w:type="dxa"/>
            <w:left w:w="0" w:type="dxa"/>
            <w:bottom w:w="0" w:type="dxa"/>
            <w:right w:w="0" w:type="dxa"/>
          </w:tblCellMar>
        </w:tblPrEx>
        <w:trPr>
          <w:trHeight w:val="565"/>
          <w:jc w:val="center"/>
        </w:trPr>
        <w:tc>
          <w:tcPr>
            <w:tcW w:w="24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color w:val="000000"/>
                <w:kern w:val="0"/>
                <w:sz w:val="20"/>
                <w:szCs w:val="20"/>
                <w:lang w:val="en-US" w:eastAsia="zh-CN" w:bidi="ar"/>
              </w:rPr>
              <w:t>行政处罚</w:t>
            </w:r>
          </w:p>
        </w:tc>
        <w:tc>
          <w:tcPr>
            <w:tcW w:w="724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hint="default"/>
                <w:lang w:val="en"/>
              </w:rPr>
            </w:pPr>
            <w:r>
              <w:rPr>
                <w:rFonts w:ascii="宋体" w:eastAsia="宋体" w:hAnsi="宋体" w:cs="宋体" w:hint="eastAsia"/>
                <w:bCs/>
                <w:color w:val="000000"/>
                <w:kern w:val="0"/>
                <w:sz w:val="20"/>
                <w:szCs w:val="20"/>
                <w:lang w:val="en-US" w:eastAsia="zh-CN" w:bidi="ar"/>
              </w:rPr>
              <w:t>　</w:t>
            </w:r>
            <w:r>
              <w:rPr>
                <w:rFonts w:ascii="宋体" w:eastAsia="宋体" w:hAnsi="宋体" w:cs="宋体" w:hint="default"/>
                <w:bCs/>
                <w:color w:val="000000"/>
                <w:kern w:val="0"/>
                <w:sz w:val="20"/>
                <w:szCs w:val="20"/>
                <w:lang w:val="en" w:eastAsia="zh-CN" w:bidi="ar"/>
              </w:rPr>
              <w:t>0</w:t>
            </w:r>
          </w:p>
        </w:tc>
      </w:tr>
      <w:tr>
        <w:tblPrEx>
          <w:tblW w:w="9660" w:type="dxa"/>
          <w:jc w:val="center"/>
          <w:shd w:val="clear" w:color="auto" w:fill="auto"/>
          <w:tblCellMar>
            <w:top w:w="0" w:type="dxa"/>
            <w:left w:w="0" w:type="dxa"/>
            <w:bottom w:w="0" w:type="dxa"/>
            <w:right w:w="0" w:type="dxa"/>
          </w:tblCellMar>
        </w:tblPrEx>
        <w:trPr>
          <w:trHeight w:val="565"/>
          <w:jc w:val="center"/>
        </w:trPr>
        <w:tc>
          <w:tcPr>
            <w:tcW w:w="24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color w:val="000000"/>
                <w:kern w:val="0"/>
                <w:sz w:val="20"/>
                <w:szCs w:val="20"/>
                <w:lang w:val="en-US" w:eastAsia="zh-CN" w:bidi="ar"/>
              </w:rPr>
              <w:t>行政强制</w:t>
            </w:r>
          </w:p>
        </w:tc>
        <w:tc>
          <w:tcPr>
            <w:tcW w:w="724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hint="default"/>
                <w:lang w:val="en"/>
              </w:rPr>
            </w:pPr>
            <w:r>
              <w:rPr>
                <w:rFonts w:ascii="宋体" w:eastAsia="宋体" w:hAnsi="宋体" w:cs="宋体" w:hint="eastAsia"/>
                <w:bCs/>
                <w:color w:val="000000"/>
                <w:kern w:val="0"/>
                <w:sz w:val="20"/>
                <w:szCs w:val="20"/>
                <w:lang w:val="en-US" w:eastAsia="zh-CN" w:bidi="ar"/>
              </w:rPr>
              <w:t>　</w:t>
            </w:r>
            <w:r>
              <w:rPr>
                <w:rFonts w:ascii="宋体" w:eastAsia="宋体" w:hAnsi="宋体" w:cs="宋体" w:hint="default"/>
                <w:bCs/>
                <w:color w:val="000000"/>
                <w:kern w:val="0"/>
                <w:sz w:val="20"/>
                <w:szCs w:val="20"/>
                <w:lang w:val="en" w:eastAsia="zh-CN" w:bidi="ar"/>
              </w:rPr>
              <w:t>0</w:t>
            </w:r>
          </w:p>
        </w:tc>
      </w:tr>
      <w:tr>
        <w:tblPrEx>
          <w:tblW w:w="9660" w:type="dxa"/>
          <w:jc w:val="center"/>
          <w:shd w:val="clear" w:color="auto" w:fill="auto"/>
          <w:tblCellMar>
            <w:top w:w="0" w:type="dxa"/>
            <w:left w:w="0" w:type="dxa"/>
            <w:bottom w:w="0" w:type="dxa"/>
            <w:right w:w="0" w:type="dxa"/>
          </w:tblCellMar>
        </w:tblPrEx>
        <w:trPr>
          <w:trHeight w:val="565"/>
          <w:jc w:val="center"/>
        </w:trPr>
        <w:tc>
          <w:tcPr>
            <w:tcW w:w="966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color w:val="000000"/>
                <w:kern w:val="0"/>
                <w:sz w:val="20"/>
                <w:szCs w:val="20"/>
                <w:lang w:val="en-US" w:eastAsia="zh-CN" w:bidi="ar"/>
              </w:rPr>
              <w:t>第二十条第（八）项</w:t>
            </w:r>
          </w:p>
        </w:tc>
      </w:tr>
      <w:tr>
        <w:tblPrEx>
          <w:tblW w:w="9660" w:type="dxa"/>
          <w:jc w:val="center"/>
          <w:shd w:val="clear" w:color="auto" w:fill="auto"/>
          <w:tblCellMar>
            <w:top w:w="0" w:type="dxa"/>
            <w:left w:w="0" w:type="dxa"/>
            <w:bottom w:w="0" w:type="dxa"/>
            <w:right w:w="0" w:type="dxa"/>
          </w:tblCellMar>
        </w:tblPrEx>
        <w:trPr>
          <w:trHeight w:val="565"/>
          <w:jc w:val="center"/>
        </w:trPr>
        <w:tc>
          <w:tcPr>
            <w:tcW w:w="24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color w:val="000000"/>
                <w:kern w:val="0"/>
                <w:sz w:val="20"/>
                <w:szCs w:val="20"/>
                <w:lang w:val="en-US" w:eastAsia="zh-CN" w:bidi="ar"/>
              </w:rPr>
              <w:t>信息内容</w:t>
            </w:r>
          </w:p>
        </w:tc>
        <w:tc>
          <w:tcPr>
            <w:tcW w:w="724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color w:val="000000"/>
                <w:kern w:val="0"/>
                <w:sz w:val="20"/>
                <w:szCs w:val="20"/>
                <w:lang w:val="en-US" w:eastAsia="zh-CN" w:bidi="ar"/>
              </w:rPr>
              <w:t>本年收费金额（单位：万元）</w:t>
            </w:r>
          </w:p>
        </w:tc>
      </w:tr>
      <w:tr>
        <w:tblPrEx>
          <w:tblW w:w="9660" w:type="dxa"/>
          <w:jc w:val="center"/>
          <w:shd w:val="clear" w:color="auto" w:fill="auto"/>
          <w:tblCellMar>
            <w:top w:w="0" w:type="dxa"/>
            <w:left w:w="0" w:type="dxa"/>
            <w:bottom w:w="0" w:type="dxa"/>
            <w:right w:w="0" w:type="dxa"/>
          </w:tblCellMar>
        </w:tblPrEx>
        <w:trPr>
          <w:trHeight w:val="1042"/>
          <w:jc w:val="center"/>
        </w:trPr>
        <w:tc>
          <w:tcPr>
            <w:tcW w:w="24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color w:val="000000"/>
                <w:kern w:val="0"/>
                <w:sz w:val="20"/>
                <w:szCs w:val="20"/>
                <w:lang w:val="en-US" w:eastAsia="zh-CN" w:bidi="ar"/>
              </w:rPr>
              <w:t>行政事业性收费</w:t>
            </w:r>
          </w:p>
        </w:tc>
        <w:tc>
          <w:tcPr>
            <w:tcW w:w="724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pPr>
              <w:rPr>
                <w:rFonts w:ascii="宋体" w:hint="default"/>
                <w:sz w:val="24"/>
                <w:szCs w:val="24"/>
                <w:lang w:val="en"/>
              </w:rPr>
            </w:pPr>
            <w:r>
              <w:rPr>
                <w:rFonts w:ascii="宋体" w:hint="default"/>
                <w:sz w:val="24"/>
                <w:szCs w:val="24"/>
                <w:lang w:val="en"/>
              </w:rPr>
              <w:t>0.00731</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24"/>
          <w:szCs w:val="24"/>
        </w:rPr>
      </w:pPr>
      <w:r>
        <w:rPr>
          <w:rFonts w:ascii="宋体" w:eastAsia="宋体" w:hAnsi="宋体" w:cs="宋体" w:hint="eastAsia"/>
          <w:b/>
          <w:i w:val="0"/>
          <w:caps w:val="0"/>
          <w:color w:val="333333"/>
          <w:spacing w:val="0"/>
          <w:sz w:val="24"/>
          <w:szCs w:val="24"/>
          <w:shd w:val="clear" w:color="auto" w:fill="FFFFFF"/>
        </w:rPr>
        <w:t>三、收到和处理政府信息公开申请情况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jc w:val="both"/>
        <w:rPr>
          <w:rFonts w:ascii="宋体" w:eastAsia="宋体" w:hAnsi="宋体" w:cs="宋体" w:hint="eastAsia"/>
          <w:i w:val="0"/>
          <w:caps w:val="0"/>
          <w:color w:val="333333"/>
          <w:spacing w:val="0"/>
          <w:sz w:val="24"/>
          <w:szCs w:val="24"/>
        </w:rPr>
      </w:pPr>
    </w:p>
    <w:tbl>
      <w:tblPr>
        <w:tblStyle w:val="TableNormal"/>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auto"/>
        <w:tblCellMar>
          <w:top w:w="0" w:type="dxa"/>
          <w:left w:w="0" w:type="dxa"/>
          <w:bottom w:w="0" w:type="dxa"/>
          <w:right w:w="0" w:type="dxa"/>
        </w:tblCellMar>
      </w:tblPr>
      <w:tblGrid>
        <w:gridCol w:w="767"/>
        <w:gridCol w:w="943"/>
        <w:gridCol w:w="3212"/>
        <w:gridCol w:w="695"/>
        <w:gridCol w:w="687"/>
        <w:gridCol w:w="687"/>
        <w:gridCol w:w="687"/>
        <w:gridCol w:w="687"/>
        <w:gridCol w:w="687"/>
        <w:gridCol w:w="696"/>
      </w:tblGrid>
      <w:tr>
        <w:tblPrEx>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4922"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楷体" w:eastAsia="楷体" w:hAnsi="楷体" w:cs="楷体"/>
                <w:bCs/>
                <w:kern w:val="0"/>
                <w:sz w:val="20"/>
                <w:szCs w:val="20"/>
                <w:lang w:val="en-US" w:eastAsia="zh-CN" w:bidi="ar"/>
              </w:rPr>
              <w:t>（本列数据的勾稽关系为：第一项加第二项之和，等于第三项加第四项之和）</w:t>
            </w:r>
          </w:p>
        </w:tc>
        <w:tc>
          <w:tcPr>
            <w:tcW w:w="4826"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kern w:val="0"/>
                <w:sz w:val="20"/>
                <w:szCs w:val="20"/>
                <w:lang w:val="en-US" w:eastAsia="zh-CN" w:bidi="ar"/>
              </w:rPr>
              <w:t>申请人情况</w:t>
            </w:r>
          </w:p>
        </w:tc>
      </w:tr>
      <w:tr>
        <w:tblPrEx>
          <w:tblW w:w="9748" w:type="dxa"/>
          <w:jc w:val="center"/>
          <w:shd w:val="clear" w:color="auto" w:fill="auto"/>
          <w:tblCellMar>
            <w:top w:w="0" w:type="dxa"/>
            <w:left w:w="0" w:type="dxa"/>
            <w:bottom w:w="0" w:type="dxa"/>
            <w:right w:w="0" w:type="dxa"/>
          </w:tblCellMar>
        </w:tblPrEx>
        <w:trPr>
          <w:jc w:val="center"/>
        </w:trPr>
        <w:tc>
          <w:tcPr>
            <w:tcW w:w="4922"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pPr>
              <w:rPr>
                <w:rFonts w:ascii="宋体" w:hint="eastAsia"/>
                <w:sz w:val="24"/>
                <w:szCs w:val="24"/>
              </w:rPr>
            </w:pPr>
          </w:p>
        </w:tc>
        <w:tc>
          <w:tcPr>
            <w:tcW w:w="695"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kern w:val="0"/>
                <w:sz w:val="20"/>
                <w:szCs w:val="20"/>
                <w:lang w:val="en-US" w:eastAsia="zh-CN" w:bidi="ar"/>
              </w:rPr>
              <w:t>自然人</w:t>
            </w:r>
          </w:p>
        </w:tc>
        <w:tc>
          <w:tcPr>
            <w:tcW w:w="3435" w:type="dxa"/>
            <w:gridSpan w:val="5"/>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kern w:val="0"/>
                <w:sz w:val="20"/>
                <w:szCs w:val="20"/>
                <w:lang w:val="en-US" w:eastAsia="zh-CN" w:bidi="ar"/>
              </w:rPr>
              <w:t>法人或其他组织</w:t>
            </w:r>
          </w:p>
        </w:tc>
        <w:tc>
          <w:tcPr>
            <w:tcW w:w="696" w:type="dxa"/>
            <w:vMerge w:val="restart"/>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kern w:val="0"/>
                <w:sz w:val="20"/>
                <w:szCs w:val="20"/>
                <w:lang w:val="en-US" w:eastAsia="zh-CN" w:bidi="ar"/>
              </w:rPr>
              <w:t>总计</w:t>
            </w:r>
          </w:p>
        </w:tc>
      </w:tr>
      <w:tr>
        <w:tblPrEx>
          <w:tblW w:w="9748" w:type="dxa"/>
          <w:jc w:val="center"/>
          <w:shd w:val="clear" w:color="auto" w:fill="auto"/>
          <w:tblCellMar>
            <w:top w:w="0" w:type="dxa"/>
            <w:left w:w="0" w:type="dxa"/>
            <w:bottom w:w="0" w:type="dxa"/>
            <w:right w:w="0" w:type="dxa"/>
          </w:tblCellMar>
        </w:tblPrEx>
        <w:trPr>
          <w:jc w:val="center"/>
        </w:trPr>
        <w:tc>
          <w:tcPr>
            <w:tcW w:w="4922"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pPr>
              <w:rPr>
                <w:rFonts w:ascii="宋体" w:hint="eastAsia"/>
                <w:sz w:val="24"/>
                <w:szCs w:val="24"/>
              </w:rPr>
            </w:pPr>
          </w:p>
        </w:tc>
        <w:tc>
          <w:tcPr>
            <w:tcW w:w="695" w:type="dxa"/>
            <w:vMerge/>
            <w:tcBorders>
              <w:top w:val="nil"/>
              <w:left w:val="nil"/>
              <w:bottom w:val="single"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kern w:val="0"/>
                <w:sz w:val="20"/>
                <w:szCs w:val="20"/>
                <w:lang w:val="en-US" w:eastAsia="zh-CN" w:bidi="ar"/>
              </w:rPr>
              <w:t>商业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kern w:val="0"/>
                <w:sz w:val="20"/>
                <w:szCs w:val="20"/>
                <w:lang w:val="en-US" w:eastAsia="zh-CN" w:bidi="ar"/>
              </w:rPr>
              <w:t>企业</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kern w:val="0"/>
                <w:sz w:val="20"/>
                <w:szCs w:val="20"/>
                <w:lang w:val="en-US" w:eastAsia="zh-CN" w:bidi="ar"/>
              </w:rPr>
              <w:t>科研</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kern w:val="0"/>
                <w:sz w:val="20"/>
                <w:szCs w:val="20"/>
                <w:lang w:val="en-US" w:eastAsia="zh-CN" w:bidi="ar"/>
              </w:rPr>
              <w:t>机构</w:t>
            </w:r>
          </w:p>
        </w:tc>
        <w:tc>
          <w:tcPr>
            <w:tcW w:w="687"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kern w:val="0"/>
                <w:sz w:val="20"/>
                <w:szCs w:val="20"/>
                <w:lang w:val="en-US" w:eastAsia="zh-CN" w:bidi="ar"/>
              </w:rPr>
              <w:t>社会公益组织</w:t>
            </w:r>
          </w:p>
        </w:tc>
        <w:tc>
          <w:tcPr>
            <w:tcW w:w="687"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kern w:val="0"/>
                <w:sz w:val="20"/>
                <w:szCs w:val="20"/>
                <w:lang w:val="en-US" w:eastAsia="zh-CN" w:bidi="ar"/>
              </w:rPr>
              <w:t>法律服务机构</w:t>
            </w:r>
          </w:p>
        </w:tc>
        <w:tc>
          <w:tcPr>
            <w:tcW w:w="687"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bCs/>
                <w:kern w:val="0"/>
                <w:sz w:val="20"/>
                <w:szCs w:val="20"/>
                <w:lang w:val="en-US" w:eastAsia="zh-CN" w:bidi="ar"/>
              </w:rPr>
              <w:t>其他</w:t>
            </w:r>
          </w:p>
        </w:tc>
        <w:tc>
          <w:tcPr>
            <w:tcW w:w="696" w:type="dxa"/>
            <w:vMerge/>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r>
      <w:tr>
        <w:tblPrEx>
          <w:tblW w:w="9748" w:type="dxa"/>
          <w:jc w:val="center"/>
          <w:shd w:val="clear" w:color="auto" w:fill="auto"/>
          <w:tblCellMar>
            <w:top w:w="0" w:type="dxa"/>
            <w:left w:w="0" w:type="dxa"/>
            <w:bottom w:w="0" w:type="dxa"/>
            <w:right w:w="0" w:type="dxa"/>
          </w:tblCellMar>
        </w:tblPrEx>
        <w:trPr>
          <w:jc w:val="center"/>
        </w:trPr>
        <w:tc>
          <w:tcPr>
            <w:tcW w:w="4922"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一、本年新收政府信息公开申请数量</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rPr>
            </w:pPr>
            <w:r>
              <w:rPr>
                <w:rFonts w:asciiTheme="minorEastAsia" w:hAnsiTheme="minorEastAsia" w:cstheme="minorEastAsia" w:hint="eastAsia"/>
                <w:bCs/>
                <w:kern w:val="0"/>
                <w:sz w:val="20"/>
                <w:szCs w:val="20"/>
                <w:lang w:val="en-US"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rPr>
            </w:pPr>
            <w:r>
              <w:rPr>
                <w:rFonts w:asciiTheme="minorEastAsia" w:hAnsiTheme="minorEastAsia" w:cstheme="minorEastAsia" w:hint="eastAsia"/>
                <w:bCs/>
                <w:kern w:val="0"/>
                <w:sz w:val="20"/>
                <w:szCs w:val="20"/>
                <w:lang w:val="en-US"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4922"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二、上年结转政府信息公开申请数量</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三、本年度办理结果</w:t>
            </w:r>
          </w:p>
        </w:tc>
        <w:tc>
          <w:tcPr>
            <w:tcW w:w="4155"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（一）予以公开</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US" w:eastAsia="zh-CN"/>
              </w:rPr>
            </w:pPr>
            <w:r>
              <w:rPr>
                <w:rFonts w:asciiTheme="minorEastAsia" w:hAnsiTheme="minorEastAsia" w:cstheme="minorEastAsia" w:hint="eastAsia"/>
                <w:sz w:val="20"/>
                <w:szCs w:val="20"/>
                <w:lang w:val="en-US" w:eastAsia="zh-CN"/>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single" w:sz="8" w:space="0" w:color="auto"/>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US" w:eastAsia="zh-CN"/>
              </w:rPr>
            </w:pPr>
            <w:r>
              <w:rPr>
                <w:rFonts w:asciiTheme="minorEastAsia" w:hAnsiTheme="minorEastAsia" w:cstheme="minorEastAsia" w:hint="eastAsia"/>
                <w:sz w:val="20"/>
                <w:szCs w:val="20"/>
                <w:lang w:val="en-US" w:eastAsia="zh-CN"/>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4155"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（二）部分公开</w:t>
            </w:r>
            <w:r>
              <w:rPr>
                <w:rFonts w:ascii="楷体" w:eastAsia="楷体" w:hAnsi="楷体" w:cs="楷体" w:hint="default"/>
                <w:bCs/>
                <w:kern w:val="0"/>
                <w:sz w:val="20"/>
                <w:szCs w:val="20"/>
                <w:lang w:val="en-US" w:eastAsia="zh-CN" w:bidi="ar"/>
              </w:rPr>
              <w:t>（区分处理的，只计这一情形，不计其他情形）</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（三）不予公开</w:t>
            </w: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1.属于国家秘密</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single" w:sz="8" w:space="0" w:color="auto"/>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2.其他法律行政法规禁止公开</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3.危及“三安全一稳定”</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4.保护第三方合法权益</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5.属于三类内部事务信息</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6.属于四类过程性信息</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7.属于行政执法案卷</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8.属于行政查询事项</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（四）无法提供</w:t>
            </w: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1.本机关不掌握相关政府信息</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2.没有现成信息需要另行制作</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3.补正后申请内容仍不明确</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（五）不予处理</w:t>
            </w: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1.信访举报投诉类申请</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2.重复申请</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3.要求提供公开出版物</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4.无正当理由大量反复申请</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trHeight w:val="779"/>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outset"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pPr>
            <w:r>
              <w:rPr>
                <w:rFonts w:ascii="宋体" w:eastAsia="宋体" w:hAnsi="宋体" w:cs="宋体" w:hint="eastAsia"/>
                <w:bCs/>
                <w:kern w:val="0"/>
                <w:sz w:val="20"/>
                <w:szCs w:val="20"/>
                <w:lang w:val="en-US" w:eastAsia="zh-CN" w:bidi="ar"/>
              </w:rPr>
              <w:t>5.要求行政机关确认或重新出具已获取信息</w:t>
            </w:r>
          </w:p>
        </w:tc>
        <w:tc>
          <w:tcPr>
            <w:tcW w:w="695" w:type="dxa"/>
            <w:tcBorders>
              <w:top w:val="nil"/>
              <w:left w:val="nil"/>
              <w:bottom w:val="outset"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outset"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outset"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outset"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outset"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outset"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outset"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（六）其他处理</w:t>
            </w:r>
          </w:p>
        </w:tc>
        <w:tc>
          <w:tcPr>
            <w:tcW w:w="3212"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pPr>
            <w:r>
              <w:rPr>
                <w:rFonts w:ascii="宋体" w:eastAsia="宋体" w:hAnsi="宋体" w:cs="宋体" w:hint="eastAsia"/>
                <w:bCs/>
                <w:kern w:val="0"/>
                <w:sz w:val="20"/>
                <w:szCs w:val="20"/>
                <w:lang w:val="en-US" w:eastAsia="zh-CN" w:bidi="ar"/>
              </w:rPr>
              <w:t>1.申请人无正当理由逾期不补正、行政机关不再处理其政府信息公开申请</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pPr>
            <w:r>
              <w:rPr>
                <w:rFonts w:ascii="宋体" w:eastAsia="宋体" w:hAnsi="宋体" w:cs="宋体" w:hint="eastAsia"/>
                <w:bCs/>
                <w:kern w:val="0"/>
                <w:sz w:val="20"/>
                <w:szCs w:val="20"/>
                <w:lang w:val="en-US" w:eastAsia="zh-CN" w:bidi="ar"/>
              </w:rPr>
              <w:t>2.申请人逾期未按收费通知要求缴纳费用、行政机关不再处理其政府信息公开申请</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3212"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3.其他</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r>
      <w:tr>
        <w:tblPrEx>
          <w:tblW w:w="9748" w:type="dxa"/>
          <w:jc w:val="center"/>
          <w:shd w:val="clear" w:color="auto" w:fill="auto"/>
          <w:tblCellMar>
            <w:top w:w="0" w:type="dxa"/>
            <w:left w:w="0" w:type="dxa"/>
            <w:bottom w:w="0" w:type="dxa"/>
            <w:right w:w="0" w:type="dxa"/>
          </w:tblCellMar>
        </w:tblPrEx>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pPr>
              <w:rPr>
                <w:rFonts w:ascii="宋体" w:hint="eastAsia"/>
                <w:sz w:val="24"/>
                <w:szCs w:val="24"/>
              </w:rPr>
            </w:pPr>
          </w:p>
        </w:tc>
        <w:tc>
          <w:tcPr>
            <w:tcW w:w="4155"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（七）总计</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hAnsiTheme="minorEastAsia" w:cstheme="minorEastAsia" w:hint="eastAsia"/>
                <w:bCs/>
                <w:kern w:val="0"/>
                <w:sz w:val="20"/>
                <w:szCs w:val="20"/>
                <w:lang w:val="en-US"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Theme="minorEastAsia" w:eastAsiaTheme="minorEastAsia" w:hAnsiTheme="minorEastAsia" w:cstheme="minorEastAsia" w:hint="eastAsia"/>
                <w:bCs/>
                <w:kern w:val="2"/>
                <w:sz w:val="20"/>
                <w:szCs w:val="20"/>
                <w:lang w:val="en" w:eastAsia="zh-CN" w:bidi="ar-SA"/>
              </w:rPr>
            </w:pPr>
            <w:r>
              <w:rPr>
                <w:rFonts w:asciiTheme="minorEastAsia" w:hAnsiTheme="minorEastAsia" w:cstheme="minorEastAsia" w:hint="eastAsia"/>
                <w:bCs/>
                <w:kern w:val="2"/>
                <w:sz w:val="20"/>
                <w:szCs w:val="20"/>
                <w:lang w:val="en-US" w:eastAsia="zh-CN" w:bidi="ar-SA"/>
              </w:rPr>
              <w:t>0</w:t>
            </w:r>
          </w:p>
        </w:tc>
      </w:tr>
      <w:tr>
        <w:tblPrEx>
          <w:tblW w:w="9748" w:type="dxa"/>
          <w:jc w:val="center"/>
          <w:shd w:val="clear" w:color="auto" w:fill="auto"/>
          <w:tblCellMar>
            <w:top w:w="0" w:type="dxa"/>
            <w:left w:w="0" w:type="dxa"/>
            <w:bottom w:w="0" w:type="dxa"/>
            <w:right w:w="0" w:type="dxa"/>
          </w:tblCellMar>
        </w:tblPrEx>
        <w:trPr>
          <w:jc w:val="center"/>
        </w:trPr>
        <w:tc>
          <w:tcPr>
            <w:tcW w:w="4922"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hAnsi="宋体" w:cs="宋体" w:hint="eastAsia"/>
                <w:bCs/>
                <w:kern w:val="0"/>
                <w:sz w:val="20"/>
                <w:szCs w:val="20"/>
                <w:lang w:val="en-US" w:eastAsia="zh-CN" w:bidi="ar"/>
              </w:rPr>
              <w:t>四、结转下年度继续办理</w:t>
            </w:r>
          </w:p>
        </w:tc>
        <w:tc>
          <w:tcPr>
            <w:tcW w:w="695"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87" w:type="dxa"/>
            <w:tcBorders>
              <w:top w:val="nil"/>
              <w:left w:val="nil"/>
              <w:bottom w:val="single" w:sz="8" w:space="0" w:color="auto"/>
              <w:right w:val="single" w:sz="8" w:space="0" w:color="auto"/>
            </w:tcBorders>
            <w:shd w:val="clear" w:color="auto" w:fill="auto"/>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bCs/>
                <w:kern w:val="0"/>
                <w:sz w:val="20"/>
                <w:szCs w:val="20"/>
                <w:lang w:val="en" w:eastAsia="zh-CN" w:bidi="ar"/>
              </w:rPr>
              <w:t>0</w:t>
            </w:r>
          </w:p>
        </w:tc>
        <w:tc>
          <w:tcPr>
            <w:tcW w:w="696" w:type="dxa"/>
            <w:tcBorders>
              <w:top w:val="nil"/>
              <w:left w:val="nil"/>
              <w:bottom w:val="single" w:sz="8" w:space="0" w:color="auto"/>
              <w:right w:val="single" w:sz="8" w:space="0" w:color="auto"/>
            </w:tcBorders>
            <w:shd w:val="clear" w:color="auto" w:fill="auto"/>
            <w:tcMar>
              <w:left w:w="57" w:type="dxa"/>
              <w:right w:w="57" w:type="dxa"/>
            </w:tcMar>
            <w:vAlign w:val="top"/>
          </w:tcPr>
          <w:p>
            <w:pPr>
              <w:jc w:val="center"/>
              <w:rPr>
                <w:rFonts w:asciiTheme="minorEastAsia" w:eastAsiaTheme="minorEastAsia" w:hAnsiTheme="minorEastAsia" w:cstheme="minorEastAsia" w:hint="eastAsia"/>
                <w:sz w:val="20"/>
                <w:szCs w:val="20"/>
                <w:lang w:val="en"/>
              </w:rPr>
            </w:pPr>
            <w:r>
              <w:rPr>
                <w:rFonts w:asciiTheme="minorEastAsia" w:eastAsiaTheme="minorEastAsia" w:hAnsiTheme="minorEastAsia" w:cstheme="minorEastAsia" w:hint="eastAsia"/>
                <w:sz w:val="20"/>
                <w:szCs w:val="20"/>
                <w:lang w:val="en"/>
              </w:rPr>
              <w:t>0</w:t>
            </w:r>
          </w:p>
        </w:tc>
      </w:tr>
    </w:tbl>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Ansi="宋体" w:cs="宋体" w:hint="eastAsia"/>
          <w:i w:val="0"/>
          <w:caps w:val="0"/>
          <w:color w:val="333333"/>
          <w:spacing w:val="0"/>
          <w:sz w:val="24"/>
          <w:szCs w:val="24"/>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24"/>
          <w:szCs w:val="24"/>
        </w:rPr>
      </w:pPr>
      <w:r>
        <w:rPr>
          <w:rFonts w:ascii="宋体" w:eastAsia="宋体" w:hAnsi="宋体" w:cs="宋体" w:hint="eastAsia"/>
          <w:b/>
          <w:i w:val="0"/>
          <w:caps w:val="0"/>
          <w:color w:val="333333"/>
          <w:spacing w:val="0"/>
          <w:sz w:val="24"/>
          <w:szCs w:val="24"/>
          <w:shd w:val="clear" w:color="auto" w:fill="FFFFFF"/>
        </w:rPr>
        <w:t>四、政府信息公开行政复议、行政诉讼情况</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hAnsi="宋体" w:cs="宋体" w:hint="eastAsia"/>
          <w:i w:val="0"/>
          <w:caps w:val="0"/>
          <w:color w:val="333333"/>
          <w:spacing w:val="0"/>
          <w:sz w:val="24"/>
          <w:szCs w:val="24"/>
        </w:rPr>
      </w:pPr>
    </w:p>
    <w:tbl>
      <w:tblPr>
        <w:tblStyle w:val="TableNormal"/>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auto"/>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auto"/>
          <w:tblCellMar>
            <w:top w:w="0" w:type="dxa"/>
            <w:left w:w="0" w:type="dxa"/>
            <w:bottom w:w="0" w:type="dxa"/>
            <w:right w:w="0" w:type="dxa"/>
          </w:tblCellMar>
        </w:tblPrEx>
        <w:trPr>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行政诉讼</w:t>
            </w:r>
          </w:p>
        </w:tc>
      </w:tr>
      <w:tr>
        <w:tblPrEx>
          <w:tblW w:w="9748" w:type="dxa"/>
          <w:jc w:val="center"/>
          <w:shd w:val="clear" w:color="auto" w:fill="auto"/>
          <w:tblCellMar>
            <w:top w:w="0" w:type="dxa"/>
            <w:left w:w="0" w:type="dxa"/>
            <w:bottom w:w="0" w:type="dxa"/>
            <w:right w:w="0" w:type="dxa"/>
          </w:tblCellMar>
        </w:tblPrEx>
        <w:trPr>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结果</w:t>
            </w:r>
            <w:r>
              <w:rPr>
                <w:rFonts w:ascii="宋体" w:eastAsia="宋体" w:hAnsi="宋体" w:cs="宋体" w:hint="eastAsia"/>
                <w:bCs/>
                <w:kern w:val="0"/>
                <w:sz w:val="20"/>
                <w:szCs w:val="20"/>
                <w:lang w:val="en-US" w:eastAsia="zh-CN" w:bidi="ar"/>
              </w:rPr>
              <w:br/>
            </w:r>
            <w:r>
              <w:rPr>
                <w:rFonts w:ascii="宋体" w:eastAsia="宋体" w:hAnsi="宋体" w:cs="宋体" w:hint="eastAsia"/>
                <w:bCs/>
                <w:kern w:val="0"/>
                <w:sz w:val="20"/>
                <w:szCs w:val="20"/>
                <w:lang w:val="en-US" w:eastAsia="zh-CN" w:bidi="ar"/>
              </w:rP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其他</w:t>
            </w:r>
            <w:r>
              <w:rPr>
                <w:rFonts w:ascii="宋体" w:eastAsia="宋体" w:hAnsi="宋体" w:cs="宋体" w:hint="eastAsia"/>
                <w:bCs/>
                <w:kern w:val="0"/>
                <w:sz w:val="20"/>
                <w:szCs w:val="20"/>
                <w:lang w:val="en-US" w:eastAsia="zh-CN" w:bidi="ar"/>
              </w:rPr>
              <w:br/>
            </w:r>
            <w:r>
              <w:rPr>
                <w:rFonts w:ascii="宋体" w:eastAsia="宋体" w:hAnsi="宋体" w:cs="宋体" w:hint="eastAsia"/>
                <w:bCs/>
                <w:kern w:val="0"/>
                <w:sz w:val="20"/>
                <w:szCs w:val="20"/>
                <w:lang w:val="en-US" w:eastAsia="zh-CN" w:bidi="ar"/>
              </w:rP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尚未</w:t>
            </w:r>
            <w:r>
              <w:rPr>
                <w:rFonts w:ascii="宋体" w:eastAsia="宋体" w:hAnsi="宋体" w:cs="宋体" w:hint="eastAsia"/>
                <w:bCs/>
                <w:kern w:val="0"/>
                <w:sz w:val="20"/>
                <w:szCs w:val="20"/>
                <w:lang w:val="en-US" w:eastAsia="zh-CN" w:bidi="ar"/>
              </w:rPr>
              <w:br/>
            </w:r>
            <w:r>
              <w:rPr>
                <w:rFonts w:ascii="宋体" w:eastAsia="宋体" w:hAnsi="宋体" w:cs="宋体" w:hint="eastAsia"/>
                <w:bCs/>
                <w:kern w:val="0"/>
                <w:sz w:val="20"/>
                <w:szCs w:val="20"/>
                <w:lang w:val="en-US" w:eastAsia="zh-CN" w:bidi="ar"/>
              </w:rP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复议后起诉</w:t>
            </w:r>
          </w:p>
        </w:tc>
      </w:tr>
      <w:tr>
        <w:tblPrEx>
          <w:tblW w:w="9748" w:type="dxa"/>
          <w:jc w:val="center"/>
          <w:shd w:val="clear" w:color="auto" w:fill="auto"/>
          <w:tblCellMar>
            <w:top w:w="0" w:type="dxa"/>
            <w:left w:w="0" w:type="dxa"/>
            <w:bottom w:w="0" w:type="dxa"/>
            <w:right w:w="0" w:type="dxa"/>
          </w:tblCellMar>
        </w:tblPrEx>
        <w:trPr>
          <w:jc w:val="center"/>
        </w:trPr>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rPr>
                <w:rFonts w:ascii="宋体" w:hint="eastAsia"/>
                <w:sz w:val="24"/>
                <w:szCs w:val="24"/>
              </w:rPr>
            </w:pPr>
          </w:p>
        </w:tc>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rPr>
                <w:rFonts w:ascii="宋体" w:hint="eastAsia"/>
                <w:sz w:val="24"/>
                <w:szCs w:val="24"/>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rPr>
                <w:rFonts w:ascii="宋体" w:hint="eastAsia"/>
                <w:sz w:val="24"/>
                <w:szCs w:val="24"/>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rPr>
                <w:rFonts w:ascii="宋体" w:hint="eastAsia"/>
                <w:sz w:val="24"/>
                <w:szCs w:val="24"/>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rPr>
                <w:rFonts w:ascii="宋体" w:hint="eastAsia"/>
                <w:sz w:val="24"/>
                <w:szCs w:val="24"/>
              </w:rPr>
            </w:pP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结果</w:t>
            </w:r>
            <w:r>
              <w:rPr>
                <w:rFonts w:ascii="宋体" w:eastAsia="宋体" w:hAnsi="宋体" w:cs="宋体" w:hint="eastAsia"/>
                <w:bCs/>
                <w:kern w:val="0"/>
                <w:sz w:val="20"/>
                <w:szCs w:val="20"/>
                <w:lang w:val="en-US" w:eastAsia="zh-CN" w:bidi="ar"/>
              </w:rPr>
              <w:br/>
            </w:r>
            <w:r>
              <w:rPr>
                <w:rFonts w:ascii="宋体" w:eastAsia="宋体" w:hAnsi="宋体" w:cs="宋体" w:hint="eastAsia"/>
                <w:bCs/>
                <w:kern w:val="0"/>
                <w:sz w:val="20"/>
                <w:szCs w:val="20"/>
                <w:lang w:val="en-US" w:eastAsia="zh-CN" w:bidi="ar"/>
              </w:rPr>
              <w:t>维持</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结果</w:t>
            </w:r>
            <w:r>
              <w:rPr>
                <w:rFonts w:ascii="宋体" w:eastAsia="宋体" w:hAnsi="宋体" w:cs="宋体" w:hint="eastAsia"/>
                <w:bCs/>
                <w:kern w:val="0"/>
                <w:sz w:val="20"/>
                <w:szCs w:val="20"/>
                <w:lang w:val="en-US" w:eastAsia="zh-CN" w:bidi="ar"/>
              </w:rPr>
              <w:br/>
            </w:r>
            <w:r>
              <w:rPr>
                <w:rFonts w:ascii="宋体" w:eastAsia="宋体" w:hAnsi="宋体" w:cs="宋体" w:hint="eastAsia"/>
                <w:bCs/>
                <w:kern w:val="0"/>
                <w:sz w:val="20"/>
                <w:szCs w:val="20"/>
                <w:lang w:val="en-US" w:eastAsia="zh-CN" w:bidi="ar"/>
              </w:rP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其他</w:t>
            </w:r>
            <w:r>
              <w:rPr>
                <w:rFonts w:ascii="宋体" w:eastAsia="宋体" w:hAnsi="宋体" w:cs="宋体" w:hint="eastAsia"/>
                <w:bCs/>
                <w:kern w:val="0"/>
                <w:sz w:val="20"/>
                <w:szCs w:val="20"/>
                <w:lang w:val="en-US" w:eastAsia="zh-CN" w:bidi="ar"/>
              </w:rPr>
              <w:br/>
            </w:r>
            <w:r>
              <w:rPr>
                <w:rFonts w:ascii="宋体" w:eastAsia="宋体" w:hAnsi="宋体" w:cs="宋体" w:hint="eastAsia"/>
                <w:bCs/>
                <w:kern w:val="0"/>
                <w:sz w:val="20"/>
                <w:szCs w:val="20"/>
                <w:lang w:val="en-US" w:eastAsia="zh-CN" w:bidi="ar"/>
              </w:rP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尚未</w:t>
            </w:r>
            <w:r>
              <w:rPr>
                <w:rFonts w:ascii="宋体" w:eastAsia="宋体" w:hAnsi="宋体" w:cs="宋体" w:hint="eastAsia"/>
                <w:bCs/>
                <w:kern w:val="0"/>
                <w:sz w:val="20"/>
                <w:szCs w:val="20"/>
                <w:lang w:val="en-US" w:eastAsia="zh-CN" w:bidi="ar"/>
              </w:rPr>
              <w:br/>
            </w:r>
            <w:r>
              <w:rPr>
                <w:rFonts w:ascii="宋体" w:eastAsia="宋体" w:hAnsi="宋体" w:cs="宋体" w:hint="eastAsia"/>
                <w:bCs/>
                <w:kern w:val="0"/>
                <w:sz w:val="20"/>
                <w:szCs w:val="20"/>
                <w:lang w:val="en-US" w:eastAsia="zh-CN" w:bidi="ar"/>
              </w:rP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color w:val="000000"/>
                <w:kern w:val="0"/>
                <w:sz w:val="20"/>
                <w:szCs w:val="20"/>
                <w:lang w:val="en-US" w:eastAsia="zh-CN" w:bidi="ar"/>
              </w:rPr>
              <w:t>总计</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结果</w:t>
            </w:r>
            <w:r>
              <w:rPr>
                <w:rFonts w:ascii="宋体" w:eastAsia="宋体" w:hAnsi="宋体" w:cs="宋体" w:hint="eastAsia"/>
                <w:bCs/>
                <w:kern w:val="0"/>
                <w:sz w:val="20"/>
                <w:szCs w:val="20"/>
                <w:lang w:val="en-US" w:eastAsia="zh-CN" w:bidi="ar"/>
              </w:rPr>
              <w:br/>
            </w:r>
            <w:r>
              <w:rPr>
                <w:rFonts w:ascii="宋体" w:eastAsia="宋体" w:hAnsi="宋体" w:cs="宋体" w:hint="eastAsia"/>
                <w:bCs/>
                <w:kern w:val="0"/>
                <w:sz w:val="20"/>
                <w:szCs w:val="20"/>
                <w:lang w:val="en-US" w:eastAsia="zh-CN" w:bidi="ar"/>
              </w:rPr>
              <w:t>维持</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结果</w:t>
            </w:r>
            <w:r>
              <w:rPr>
                <w:rFonts w:ascii="宋体" w:eastAsia="宋体" w:hAnsi="宋体" w:cs="宋体" w:hint="eastAsia"/>
                <w:bCs/>
                <w:kern w:val="0"/>
                <w:sz w:val="20"/>
                <w:szCs w:val="20"/>
                <w:lang w:val="en-US" w:eastAsia="zh-CN" w:bidi="ar"/>
              </w:rPr>
              <w:br/>
            </w:r>
            <w:r>
              <w:rPr>
                <w:rFonts w:ascii="宋体" w:eastAsia="宋体" w:hAnsi="宋体" w:cs="宋体" w:hint="eastAsia"/>
                <w:bCs/>
                <w:kern w:val="0"/>
                <w:sz w:val="20"/>
                <w:szCs w:val="20"/>
                <w:lang w:val="en-US" w:eastAsia="zh-CN" w:bidi="ar"/>
              </w:rP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color w:val="000000"/>
                <w:kern w:val="0"/>
                <w:sz w:val="20"/>
                <w:szCs w:val="20"/>
                <w:lang w:val="en-US" w:eastAsia="zh-CN" w:bidi="ar"/>
              </w:rPr>
              <w:t>其他</w:t>
            </w:r>
            <w:r>
              <w:rPr>
                <w:rFonts w:ascii="宋体" w:eastAsia="宋体" w:hAnsi="宋体" w:cs="宋体" w:hint="eastAsia"/>
                <w:bCs/>
                <w:color w:val="000000"/>
                <w:kern w:val="0"/>
                <w:sz w:val="20"/>
                <w:szCs w:val="20"/>
                <w:lang w:val="en-US" w:eastAsia="zh-CN" w:bidi="ar"/>
              </w:rPr>
              <w:br/>
            </w:r>
            <w:r>
              <w:rPr>
                <w:rFonts w:ascii="宋体" w:eastAsia="宋体" w:hAnsi="宋体" w:cs="宋体" w:hint="eastAsia"/>
                <w:bCs/>
                <w:color w:val="000000"/>
                <w:kern w:val="0"/>
                <w:sz w:val="20"/>
                <w:szCs w:val="20"/>
                <w:lang w:val="en-US" w:eastAsia="zh-CN" w:bidi="ar"/>
              </w:rP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kern w:val="0"/>
                <w:sz w:val="20"/>
                <w:szCs w:val="20"/>
                <w:lang w:val="en-US" w:eastAsia="zh-CN" w:bidi="ar"/>
              </w:rPr>
              <w:t>尚未</w:t>
            </w:r>
            <w:r>
              <w:rPr>
                <w:rFonts w:ascii="宋体" w:eastAsia="宋体" w:hAnsi="宋体" w:cs="宋体" w:hint="eastAsia"/>
                <w:bCs/>
                <w:kern w:val="0"/>
                <w:sz w:val="20"/>
                <w:szCs w:val="20"/>
                <w:lang w:val="en-US" w:eastAsia="zh-CN" w:bidi="ar"/>
              </w:rPr>
              <w:br/>
            </w:r>
            <w:r>
              <w:rPr>
                <w:rFonts w:ascii="宋体" w:eastAsia="宋体" w:hAnsi="宋体" w:cs="宋体" w:hint="eastAsia"/>
                <w:bCs/>
                <w:kern w:val="0"/>
                <w:sz w:val="20"/>
                <w:szCs w:val="20"/>
                <w:lang w:val="en-US" w:eastAsia="zh-CN" w:bidi="ar"/>
              </w:rP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hAnsi="宋体" w:cs="宋体" w:hint="eastAsia"/>
                <w:bCs/>
                <w:color w:val="000000"/>
                <w:kern w:val="0"/>
                <w:sz w:val="20"/>
                <w:szCs w:val="20"/>
                <w:lang w:val="en-US" w:eastAsia="zh-CN" w:bidi="ar"/>
              </w:rPr>
              <w:t>总计</w:t>
            </w:r>
          </w:p>
        </w:tc>
      </w:tr>
      <w:tr>
        <w:tblPrEx>
          <w:tblW w:w="9748" w:type="dxa"/>
          <w:jc w:val="center"/>
          <w:shd w:val="clear" w:color="auto" w:fill="auto"/>
          <w:tblCellMar>
            <w:top w:w="0" w:type="dxa"/>
            <w:left w:w="0" w:type="dxa"/>
            <w:bottom w:w="0" w:type="dxa"/>
            <w:right w:w="0" w:type="dxa"/>
          </w:tblCellMar>
        </w:tblPrEx>
        <w:trPr>
          <w:trHeight w:val="672"/>
          <w:jc w:val="center"/>
        </w:trPr>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hint="default"/>
                <w:lang w:val="en"/>
              </w:rPr>
            </w:pPr>
            <w:r>
              <w:rPr>
                <w:rFonts w:ascii="黑体" w:eastAsia="黑体" w:hAnsi="宋体" w:cs="黑体"/>
                <w:bCs/>
                <w:kern w:val="0"/>
                <w:sz w:val="20"/>
                <w:szCs w:val="20"/>
                <w:lang w:val="en-US" w:eastAsia="zh-CN" w:bidi="ar"/>
              </w:rPr>
              <w:t> </w:t>
            </w:r>
            <w:r>
              <w:rPr>
                <w:rFonts w:ascii="黑体" w:eastAsia="黑体" w:hAnsi="宋体" w:cs="黑体" w:hint="default"/>
                <w:bCs/>
                <w:kern w:val="0"/>
                <w:sz w:val="20"/>
                <w:szCs w:val="20"/>
                <w:lang w:val="en" w:eastAsia="zh-CN" w:bidi="ar"/>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hint="default"/>
                <w:lang w:val="en"/>
              </w:rPr>
            </w:pPr>
            <w:r>
              <w:rPr>
                <w:rFonts w:ascii="黑体" w:eastAsia="黑体" w:hAnsi="宋体" w:cs="黑体" w:hint="default"/>
                <w:bCs/>
                <w:kern w:val="0"/>
                <w:sz w:val="20"/>
                <w:szCs w:val="20"/>
                <w:lang w:val="en" w:eastAsia="zh-CN" w:bidi="ar"/>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hint="default"/>
                <w:lang w:val="en"/>
              </w:rPr>
            </w:pPr>
            <w:r>
              <w:rPr>
                <w:rFonts w:ascii="黑体" w:eastAsia="黑体" w:hAnsi="宋体" w:cs="黑体" w:hint="default"/>
                <w:bCs/>
                <w:kern w:val="0"/>
                <w:sz w:val="20"/>
                <w:szCs w:val="20"/>
                <w:lang w:val="en" w:eastAsia="zh-CN" w:bidi="ar"/>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hint="default"/>
                <w:lang w:val="en"/>
              </w:rPr>
            </w:pPr>
            <w:r>
              <w:rPr>
                <w:rFonts w:ascii="黑体" w:eastAsia="黑体" w:hAnsi="宋体" w:cs="黑体" w:hint="default"/>
                <w:bCs/>
                <w:kern w:val="0"/>
                <w:sz w:val="20"/>
                <w:szCs w:val="20"/>
                <w:lang w:val="en" w:eastAsia="zh-CN" w:bidi="ar"/>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hint="default"/>
                <w:lang w:val="en"/>
              </w:rPr>
            </w:pPr>
            <w:r>
              <w:rPr>
                <w:rFonts w:ascii="黑体" w:eastAsia="黑体" w:hAnsi="宋体" w:cs="黑体" w:hint="default"/>
                <w:bCs/>
                <w:kern w:val="0"/>
                <w:sz w:val="20"/>
                <w:szCs w:val="20"/>
                <w:lang w:val="en" w:eastAsia="zh-CN" w:bidi="ar"/>
              </w:rPr>
              <w:t>0</w:t>
            </w:r>
            <w:bookmarkStart w:id="0" w:name="_GoBack"/>
            <w:bookmarkEnd w:id="0"/>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hint="default"/>
                <w:lang w:val="en"/>
              </w:rPr>
            </w:pPr>
            <w:r>
              <w:rPr>
                <w:rFonts w:ascii="黑体" w:eastAsia="黑体" w:hAnsi="宋体" w:cs="黑体" w:hint="default"/>
                <w:bCs/>
                <w:kern w:val="0"/>
                <w:sz w:val="20"/>
                <w:szCs w:val="20"/>
                <w:lang w:val="en" w:eastAsia="zh-CN" w:bidi="ar"/>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hint="default"/>
                <w:lang w:val="en"/>
              </w:rPr>
            </w:pPr>
            <w:r>
              <w:rPr>
                <w:rFonts w:ascii="黑体" w:eastAsia="黑体" w:hAnsi="宋体" w:cs="黑体" w:hint="default"/>
                <w:bCs/>
                <w:kern w:val="0"/>
                <w:sz w:val="20"/>
                <w:szCs w:val="20"/>
                <w:lang w:val="en" w:eastAsia="zh-CN"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hint="default"/>
                <w:lang w:val="en"/>
              </w:rPr>
            </w:pPr>
            <w:r>
              <w:rPr>
                <w:rFonts w:ascii="黑体" w:eastAsia="黑体" w:hAnsi="宋体" w:cs="黑体" w:hint="default"/>
                <w:bCs/>
                <w:kern w:val="0"/>
                <w:sz w:val="20"/>
                <w:szCs w:val="20"/>
                <w:lang w:val="en" w:eastAsia="zh-CN"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hint="default"/>
                <w:lang w:val="en"/>
              </w:rPr>
            </w:pPr>
            <w:r>
              <w:rPr>
                <w:rFonts w:ascii="黑体" w:eastAsia="黑体" w:hAnsi="宋体" w:cs="黑体" w:hint="default"/>
                <w:bCs/>
                <w:kern w:val="0"/>
                <w:sz w:val="20"/>
                <w:szCs w:val="20"/>
                <w:lang w:val="en" w:eastAsia="zh-CN"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hint="default"/>
                <w:lang w:val="en"/>
              </w:rPr>
            </w:pPr>
            <w:r>
              <w:rPr>
                <w:rFonts w:ascii="黑体" w:eastAsia="黑体" w:hAnsi="宋体" w:cs="黑体" w:hint="default"/>
                <w:bCs/>
                <w:kern w:val="0"/>
                <w:sz w:val="20"/>
                <w:szCs w:val="20"/>
                <w:lang w:val="en" w:eastAsia="zh-CN"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hint="default"/>
                <w:lang w:val="en"/>
              </w:rPr>
            </w:pPr>
            <w:r>
              <w:rPr>
                <w:rFonts w:ascii="黑体" w:eastAsia="黑体" w:hAnsi="宋体" w:cs="黑体" w:hint="default"/>
                <w:bCs/>
                <w:kern w:val="0"/>
                <w:sz w:val="20"/>
                <w:szCs w:val="20"/>
                <w:lang w:val="en" w:eastAsia="zh-CN"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hint="default"/>
                <w:lang w:val="en"/>
              </w:rPr>
            </w:pPr>
            <w:r>
              <w:rPr>
                <w:rFonts w:ascii="黑体" w:eastAsia="黑体" w:hAnsi="宋体" w:cs="黑体" w:hint="default"/>
                <w:bCs/>
                <w:kern w:val="0"/>
                <w:sz w:val="20"/>
                <w:szCs w:val="20"/>
                <w:lang w:val="en" w:eastAsia="zh-CN"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hint="default"/>
                <w:lang w:val="en"/>
              </w:rPr>
            </w:pPr>
            <w:r>
              <w:rPr>
                <w:rFonts w:ascii="黑体" w:eastAsia="黑体" w:hAnsi="宋体" w:cs="黑体" w:hint="default"/>
                <w:bCs/>
                <w:kern w:val="0"/>
                <w:sz w:val="20"/>
                <w:szCs w:val="20"/>
                <w:lang w:val="en" w:eastAsia="zh-CN"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hint="default"/>
                <w:lang w:val="en"/>
              </w:rPr>
            </w:pPr>
            <w:r>
              <w:rPr>
                <w:rFonts w:ascii="黑体" w:eastAsia="黑体" w:hAnsi="宋体" w:cs="黑体" w:hint="default"/>
                <w:bCs/>
                <w:kern w:val="0"/>
                <w:sz w:val="20"/>
                <w:szCs w:val="20"/>
                <w:lang w:val="en" w:eastAsia="zh-CN" w:bidi="ar"/>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rPr>
                <w:rFonts w:ascii="宋体" w:hint="default"/>
                <w:sz w:val="24"/>
                <w:szCs w:val="24"/>
                <w:lang w:val="en"/>
              </w:rPr>
            </w:pPr>
            <w:r>
              <w:rPr>
                <w:rFonts w:ascii="宋体" w:hint="default"/>
                <w:sz w:val="24"/>
                <w:szCs w:val="24"/>
                <w:lang w:val="en"/>
              </w:rPr>
              <w:t>0</w:t>
            </w:r>
          </w:p>
        </w:tc>
      </w:tr>
    </w:tbl>
    <w:p>
      <w:pPr>
        <w:keepNext w:val="0"/>
        <w:keepLines w:val="0"/>
        <w:widowControl/>
        <w:suppressLineNumbers w:val="0"/>
        <w:jc w:val="left"/>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24"/>
          <w:szCs w:val="24"/>
        </w:rPr>
      </w:pPr>
      <w:r>
        <w:rPr>
          <w:rFonts w:ascii="宋体" w:eastAsia="宋体" w:hAnsi="宋体" w:cs="宋体" w:hint="eastAsia"/>
          <w:b/>
          <w:i w:val="0"/>
          <w:caps w:val="0"/>
          <w:color w:val="333333"/>
          <w:spacing w:val="0"/>
          <w:sz w:val="24"/>
          <w:szCs w:val="24"/>
          <w:shd w:val="clear" w:color="auto" w:fill="FFFFFF"/>
        </w:rPr>
        <w:t>五、存在的主要问题及改进情况</w:t>
      </w:r>
    </w:p>
    <w:p>
      <w:pPr>
        <w:pStyle w:val="NormalWeb"/>
        <w:keepNext w:val="0"/>
        <w:keepLines w:val="0"/>
        <w:widowControl/>
        <w:suppressLineNumbers w:val="0"/>
        <w:spacing w:before="0" w:beforeAutospacing="0" w:after="0" w:afterAutospacing="0" w:line="480" w:lineRule="atLeast"/>
        <w:ind w:left="0" w:right="0" w:firstLine="525"/>
        <w:rPr>
          <w:rFonts w:asciiTheme="minorEastAsia" w:eastAsiaTheme="minorEastAsia" w:hAnsiTheme="minorEastAsia" w:cstheme="minorEastAsia" w:hint="eastAsia"/>
          <w:i w:val="0"/>
          <w:caps w:val="0"/>
          <w:color w:val="000000"/>
          <w:spacing w:val="0"/>
          <w:sz w:val="24"/>
          <w:szCs w:val="24"/>
        </w:rPr>
      </w:pPr>
      <w:r>
        <w:rPr>
          <w:rFonts w:asciiTheme="minorEastAsia" w:eastAsiaTheme="minorEastAsia" w:hAnsiTheme="minorEastAsia" w:cstheme="minorEastAsia" w:hint="eastAsia"/>
          <w:i w:val="0"/>
          <w:caps w:val="0"/>
          <w:color w:val="000000"/>
          <w:spacing w:val="0"/>
          <w:sz w:val="24"/>
          <w:szCs w:val="24"/>
        </w:rPr>
        <w:t>目前，我局政府信息公开工作在深化公开内容，健全公开制度，加强基础性工作方面存在不足，需要从以下几个方面进行改进：</w:t>
      </w:r>
    </w:p>
    <w:p>
      <w:pPr>
        <w:pStyle w:val="NormalWeb"/>
        <w:keepNext w:val="0"/>
        <w:keepLines w:val="0"/>
        <w:widowControl/>
        <w:suppressLineNumbers w:val="0"/>
        <w:spacing w:before="0" w:beforeAutospacing="0" w:after="0" w:afterAutospacing="0" w:line="480" w:lineRule="atLeast"/>
        <w:ind w:left="0" w:right="0" w:firstLine="525"/>
        <w:rPr>
          <w:rFonts w:asciiTheme="minorEastAsia" w:eastAsiaTheme="minorEastAsia" w:hAnsiTheme="minorEastAsia" w:cstheme="minorEastAsia" w:hint="eastAsia"/>
          <w:i w:val="0"/>
          <w:caps w:val="0"/>
          <w:color w:val="000000"/>
          <w:spacing w:val="0"/>
          <w:sz w:val="24"/>
          <w:szCs w:val="24"/>
        </w:rPr>
      </w:pPr>
      <w:r>
        <w:rPr>
          <w:rStyle w:val="Strong"/>
          <w:rFonts w:asciiTheme="minorEastAsia" w:eastAsiaTheme="minorEastAsia" w:hAnsiTheme="minorEastAsia" w:cstheme="minorEastAsia" w:hint="eastAsia"/>
          <w:i w:val="0"/>
          <w:caps w:val="0"/>
          <w:color w:val="000000"/>
          <w:spacing w:val="0"/>
          <w:sz w:val="24"/>
          <w:szCs w:val="24"/>
        </w:rPr>
        <w:t>（一）继续深化政府信息公开内容。</w:t>
      </w:r>
      <w:r>
        <w:rPr>
          <w:rFonts w:asciiTheme="minorEastAsia" w:eastAsiaTheme="minorEastAsia" w:hAnsiTheme="minorEastAsia" w:cstheme="minorEastAsia" w:hint="eastAsia"/>
          <w:i w:val="0"/>
          <w:caps w:val="0"/>
          <w:color w:val="000000"/>
          <w:spacing w:val="0"/>
          <w:sz w:val="24"/>
          <w:szCs w:val="24"/>
        </w:rPr>
        <w:t>不断扩大信息公开的范围和内容，及时更新有关信息，确保信息公开的准确性和时效性。</w:t>
      </w:r>
    </w:p>
    <w:p>
      <w:pPr>
        <w:pStyle w:val="NormalWeb"/>
        <w:keepNext w:val="0"/>
        <w:keepLines w:val="0"/>
        <w:widowControl/>
        <w:suppressLineNumbers w:val="0"/>
        <w:spacing w:before="0" w:beforeAutospacing="0" w:after="0" w:afterAutospacing="0" w:line="480" w:lineRule="atLeast"/>
        <w:ind w:left="0" w:right="0" w:firstLine="525"/>
        <w:rPr>
          <w:rFonts w:asciiTheme="minorEastAsia" w:eastAsiaTheme="minorEastAsia" w:hAnsiTheme="minorEastAsia" w:cstheme="minorEastAsia" w:hint="eastAsia"/>
          <w:i w:val="0"/>
          <w:caps w:val="0"/>
          <w:color w:val="000000"/>
          <w:spacing w:val="0"/>
          <w:sz w:val="24"/>
          <w:szCs w:val="24"/>
        </w:rPr>
      </w:pPr>
      <w:r>
        <w:rPr>
          <w:rStyle w:val="Strong"/>
          <w:rFonts w:asciiTheme="minorEastAsia" w:eastAsiaTheme="minorEastAsia" w:hAnsiTheme="minorEastAsia" w:cstheme="minorEastAsia" w:hint="eastAsia"/>
          <w:i w:val="0"/>
          <w:caps w:val="0"/>
          <w:color w:val="000000"/>
          <w:spacing w:val="0"/>
          <w:sz w:val="24"/>
          <w:szCs w:val="24"/>
        </w:rPr>
        <w:t>（二）健全政府信息公开相关制度。</w:t>
      </w:r>
      <w:r>
        <w:rPr>
          <w:rFonts w:asciiTheme="minorEastAsia" w:eastAsiaTheme="minorEastAsia" w:hAnsiTheme="minorEastAsia" w:cstheme="minorEastAsia" w:hint="eastAsia"/>
          <w:i w:val="0"/>
          <w:caps w:val="0"/>
          <w:color w:val="000000"/>
          <w:spacing w:val="0"/>
          <w:sz w:val="24"/>
          <w:szCs w:val="24"/>
        </w:rPr>
        <w:t>进一步健全完善主动公开、依申请公开、信息更新、定期检查、责任追究等信息公开制度，夯实信息公开的法制保障和制度基础。</w:t>
      </w:r>
    </w:p>
    <w:p>
      <w:pPr>
        <w:pStyle w:val="NormalWeb"/>
        <w:keepNext w:val="0"/>
        <w:keepLines w:val="0"/>
        <w:widowControl/>
        <w:suppressLineNumbers w:val="0"/>
        <w:spacing w:before="0" w:beforeAutospacing="0" w:after="0" w:afterAutospacing="0" w:line="480" w:lineRule="atLeast"/>
        <w:ind w:left="0" w:right="0" w:firstLine="525"/>
        <w:rPr>
          <w:rFonts w:asciiTheme="minorEastAsia" w:eastAsiaTheme="minorEastAsia" w:hAnsiTheme="minorEastAsia" w:cstheme="minorEastAsia" w:hint="eastAsia"/>
          <w:i w:val="0"/>
          <w:caps w:val="0"/>
          <w:color w:val="000000"/>
          <w:spacing w:val="0"/>
          <w:sz w:val="24"/>
          <w:szCs w:val="24"/>
        </w:rPr>
      </w:pPr>
      <w:r>
        <w:rPr>
          <w:rStyle w:val="Strong"/>
          <w:rFonts w:asciiTheme="minorEastAsia" w:eastAsiaTheme="minorEastAsia" w:hAnsiTheme="minorEastAsia" w:cstheme="minorEastAsia" w:hint="eastAsia"/>
          <w:i w:val="0"/>
          <w:caps w:val="0"/>
          <w:color w:val="000000"/>
          <w:spacing w:val="0"/>
          <w:sz w:val="24"/>
          <w:szCs w:val="24"/>
        </w:rPr>
        <w:t>（三）规范政府信息公开行为。</w:t>
      </w:r>
      <w:r>
        <w:rPr>
          <w:rFonts w:asciiTheme="minorEastAsia" w:eastAsiaTheme="minorEastAsia" w:hAnsiTheme="minorEastAsia" w:cstheme="minorEastAsia" w:hint="eastAsia"/>
          <w:i w:val="0"/>
          <w:caps w:val="0"/>
          <w:color w:val="000000"/>
          <w:spacing w:val="0"/>
          <w:sz w:val="24"/>
          <w:szCs w:val="24"/>
        </w:rPr>
        <w:t>进一步规范信息公开流程，严格按照有关程序开展信息公开工作，建立公开运行记录，不断完善和规范信息公开行为。</w:t>
      </w:r>
    </w:p>
    <w:p>
      <w:pPr>
        <w:pStyle w:val="NormalWeb"/>
        <w:keepNext w:val="0"/>
        <w:keepLines w:val="0"/>
        <w:widowControl/>
        <w:suppressLineNumbers w:val="0"/>
        <w:spacing w:before="0" w:beforeAutospacing="0" w:after="0" w:afterAutospacing="0" w:line="480" w:lineRule="atLeast"/>
        <w:ind w:left="0" w:right="0" w:firstLine="525"/>
        <w:rPr>
          <w:rFonts w:asciiTheme="minorEastAsia" w:eastAsiaTheme="minorEastAsia" w:hAnsiTheme="minorEastAsia" w:cstheme="minorEastAsia" w:hint="eastAsia"/>
          <w:i w:val="0"/>
          <w:caps w:val="0"/>
          <w:color w:val="000000"/>
          <w:spacing w:val="0"/>
          <w:sz w:val="24"/>
          <w:szCs w:val="24"/>
        </w:rPr>
      </w:pPr>
      <w:r>
        <w:rPr>
          <w:rStyle w:val="Strong"/>
          <w:rFonts w:asciiTheme="minorEastAsia" w:eastAsiaTheme="minorEastAsia" w:hAnsiTheme="minorEastAsia" w:cstheme="minorEastAsia" w:hint="eastAsia"/>
          <w:i w:val="0"/>
          <w:caps w:val="0"/>
          <w:color w:val="000000"/>
          <w:spacing w:val="0"/>
          <w:sz w:val="24"/>
          <w:szCs w:val="24"/>
        </w:rPr>
        <w:t>（四）加强政府信息公开基础工作。</w:t>
      </w:r>
      <w:r>
        <w:rPr>
          <w:rFonts w:asciiTheme="minorEastAsia" w:eastAsiaTheme="minorEastAsia" w:hAnsiTheme="minorEastAsia" w:cstheme="minorEastAsia" w:hint="eastAsia"/>
          <w:i w:val="0"/>
          <w:caps w:val="0"/>
          <w:color w:val="000000"/>
          <w:spacing w:val="0"/>
          <w:sz w:val="24"/>
          <w:szCs w:val="24"/>
        </w:rPr>
        <w:t>提高政府信息公开管理程度，完善政府信息公开监督评议机制，加强政府信息公开咨询服务工作，加强宣传和普及力度，提高公众对政府信息公开的认知度。</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jc w:val="both"/>
        <w:rPr>
          <w:rFonts w:ascii="宋体" w:eastAsia="宋体" w:hAnsi="宋体" w:cs="宋体" w:hint="eastAsia"/>
          <w:i w:val="0"/>
          <w:caps w:val="0"/>
          <w:color w:val="333333"/>
          <w:spacing w:val="0"/>
          <w:sz w:val="24"/>
          <w:szCs w:val="24"/>
        </w:rPr>
      </w:pPr>
      <w:r>
        <w:rPr>
          <w:rFonts w:ascii="宋体" w:eastAsia="宋体" w:hAnsi="宋体" w:cs="宋体" w:hint="eastAsia"/>
          <w:b/>
          <w:i w:val="0"/>
          <w:caps w:val="0"/>
          <w:color w:val="333333"/>
          <w:spacing w:val="0"/>
          <w:sz w:val="24"/>
          <w:szCs w:val="24"/>
          <w:shd w:val="clear" w:color="auto" w:fill="FFFFFF"/>
        </w:rPr>
        <w:t>六、其他需要报告的事项</w:t>
      </w:r>
    </w:p>
    <w:p>
      <w:pPr>
        <w:ind w:firstLine="630" w:firstLineChars="300"/>
        <w:rPr>
          <w:rFonts w:hint="eastAsia"/>
          <w:lang w:val="en" w:eastAsia="zh-CN"/>
        </w:rPr>
      </w:pPr>
      <w:r>
        <w:rPr>
          <w:rFonts w:hint="eastAsia"/>
          <w:lang w:val="en" w:eastAsia="zh-CN"/>
        </w:rPr>
        <w:t>无</w:t>
      </w:r>
    </w:p>
    <w:p>
      <w:pPr>
        <w:pStyle w:val="NormalWeb"/>
        <w:keepNext w:val="0"/>
        <w:keepLines w:val="0"/>
        <w:widowControl/>
        <w:suppressLineNumbers w:val="0"/>
        <w:spacing w:before="0" w:beforeAutospacing="0" w:after="0" w:afterAutospacing="0" w:line="555" w:lineRule="atLeast"/>
        <w:ind w:left="0" w:right="0" w:firstLine="645"/>
        <w:jc w:val="right"/>
        <w:rPr>
          <w:rFonts w:ascii="sans-serif" w:eastAsia="sans-serif" w:hAnsi="sans-serif" w:cs="sans-serif"/>
          <w:i w:val="0"/>
          <w:caps w:val="0"/>
          <w:color w:val="000000"/>
          <w:spacing w:val="0"/>
          <w:sz w:val="21"/>
          <w:szCs w:val="21"/>
        </w:rPr>
      </w:pPr>
      <w:r>
        <w:rPr>
          <w:rFonts w:ascii="宋体" w:eastAsia="宋体" w:hAnsi="宋体" w:cs="宋体" w:hint="eastAsia"/>
          <w:i w:val="0"/>
          <w:caps w:val="0"/>
          <w:color w:val="000000"/>
          <w:spacing w:val="0"/>
          <w:sz w:val="24"/>
          <w:szCs w:val="24"/>
        </w:rPr>
        <w:t>承德市自然资源和规划局双桥区分局</w:t>
      </w:r>
    </w:p>
    <w:p>
      <w:pPr>
        <w:pStyle w:val="NormalWeb"/>
        <w:keepNext w:val="0"/>
        <w:keepLines w:val="0"/>
        <w:widowControl/>
        <w:suppressLineNumbers w:val="0"/>
        <w:spacing w:before="0" w:beforeAutospacing="0" w:after="0" w:afterAutospacing="0" w:line="555" w:lineRule="atLeast"/>
        <w:ind w:left="0" w:right="645" w:firstLine="5280"/>
        <w:jc w:val="right"/>
        <w:rPr>
          <w:rFonts w:ascii="sans-serif" w:eastAsia="sans-serif" w:hAnsi="sans-serif" w:cs="sans-serif" w:hint="default"/>
          <w:i w:val="0"/>
          <w:caps w:val="0"/>
          <w:color w:val="000000"/>
          <w:spacing w:val="0"/>
          <w:sz w:val="21"/>
          <w:szCs w:val="21"/>
        </w:rPr>
      </w:pPr>
      <w:r>
        <w:rPr>
          <w:rFonts w:ascii="宋体" w:eastAsia="宋体" w:hAnsi="宋体" w:cs="宋体" w:hint="eastAsia"/>
          <w:i w:val="0"/>
          <w:caps w:val="0"/>
          <w:color w:val="000000"/>
          <w:spacing w:val="0"/>
          <w:sz w:val="24"/>
          <w:szCs w:val="24"/>
        </w:rPr>
        <w:t>2023年1月29日</w:t>
      </w:r>
    </w:p>
    <w:p>
      <w:pPr>
        <w:ind w:firstLine="630" w:firstLineChars="300"/>
        <w:rPr>
          <w:rFonts w:hint="eastAsia"/>
          <w:lang w:val="en"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URW Bookman"/>
    <w:panose1 w:val="00000000000000000000"/>
    <w:charset w:val="00"/>
    <w:family w:val="auto"/>
    <w:pitch w:val="default"/>
    <w:sig w:usb0="00000000" w:usb1="00000000" w:usb2="00000000" w:usb3="00000000" w:csb0="00000000" w:csb1="00000000"/>
  </w:font>
  <w:font w:name="楷体">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83BD5B7F"/>
    <w:rsid w:val="D73D407A"/>
    <w:rsid w:val="001A22AB"/>
    <w:rsid w:val="001A4E8C"/>
    <w:rsid w:val="00AA2125"/>
    <w:rsid w:val="00C859EE"/>
    <w:rsid w:val="3F5D5AC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bCs/>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Web">
    <w:name w:val="Normal (Web)"/>
    <w:basedOn w:val="Normal"/>
    <w:uiPriority w:val="99"/>
    <w:semiHidden/>
    <w:unhideWhenUsed/>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uiPriority w:val="22"/>
    <w:qFormat/>
    <w:rPr>
      <w:b/>
    </w:rPr>
  </w:style>
  <w:style w:type="paragraph" w:customStyle="1" w:styleId="1">
    <w:name w:val="样式1"/>
    <w:basedOn w:val="Normal"/>
    <w:link w:val="1Char"/>
    <w:qFormat/>
    <w:rPr>
      <w:b/>
      <w:color w:val="548235" w:themeColor="accent6" w:themeShade="BF"/>
      <w:sz w:val="28"/>
    </w:rPr>
  </w:style>
  <w:style w:type="character" w:customStyle="1" w:styleId="1Char">
    <w:name w:val="样式1 Char"/>
    <w:basedOn w:val="DefaultParagraphFont"/>
    <w:link w:val="1"/>
    <w:qFormat/>
    <w:rPr>
      <w:b/>
      <w:color w:val="548235" w:themeColor="accent6"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Company>Yozosoft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user</cp:lastModifiedBy>
  <cp:revision>1</cp:revision>
  <dcterms:created xsi:type="dcterms:W3CDTF">2020-05-09T06:11:00Z</dcterms:created>
  <dcterms:modified xsi:type="dcterms:W3CDTF">2023-02-17T15:44:36Z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