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ackground w:color="ffffff">
    <v:background id="_x0000_s1025" filled="t"/>
  </w:background>
  <w:body>
    <w:p>
      <w:pPr>
        <w:spacing w:line="600" w:lineRule="exact"/>
        <w:jc w:val="center"/>
        <w:rPr>
          <w:rFonts w:ascii="方正小标宋简体" w:eastAsia="方正小标宋简体" w:hAnsi="方正小标宋简体"/>
          <w:sz w:val="36"/>
        </w:rPr>
      </w:pPr>
      <w:r>
        <w:rPr>
          <w:rFonts w:ascii="方正小标宋简体" w:eastAsia="方正小标宋简体" w:hAnsi="方正小标宋简体" w:hint="eastAsia"/>
          <w:sz w:val="36"/>
          <w:lang w:eastAsia="zh-CN"/>
        </w:rPr>
        <w:t>双桥区</w:t>
      </w:r>
      <w:r>
        <w:rPr>
          <w:rFonts w:ascii="方正小标宋简体" w:eastAsia="方正小标宋简体" w:hAnsi="方正小标宋简体" w:hint="eastAsia"/>
          <w:sz w:val="36"/>
        </w:rPr>
        <w:t>政府部门权责清单汇总表</w:t>
      </w:r>
    </w:p>
    <w:p>
      <w:pPr>
        <w:spacing w:line="600" w:lineRule="exact"/>
        <w:rPr>
          <w:rFonts w:ascii="仿宋_GB2312"/>
        </w:rPr>
      </w:pPr>
      <w:r>
        <w:rPr>
          <w:rFonts w:ascii="楷体_GB2312" w:eastAsia="楷体_GB2312" w:hAnsi="楷体_GB2312" w:hint="eastAsia"/>
          <w:sz w:val="28"/>
        </w:rPr>
        <w:t>单位：</w:t>
      </w:r>
      <w:r>
        <w:rPr>
          <w:rFonts w:ascii="楷体_GB2312" w:eastAsia="楷体_GB2312" w:hAnsi="楷体_GB2312" w:cs="Arial" w:hint="eastAsia"/>
          <w:sz w:val="28"/>
        </w:rPr>
        <w:t>承德市</w:t>
      </w:r>
      <w:r>
        <w:rPr>
          <w:rFonts w:ascii="楷体_GB2312" w:eastAsia="楷体_GB2312" w:hAnsi="楷体_GB2312" w:cs="Arial" w:hint="eastAsia"/>
          <w:sz w:val="28"/>
          <w:lang w:eastAsia="zh-CN"/>
        </w:rPr>
        <w:t>双桥区</w:t>
      </w:r>
      <w:r>
        <w:rPr>
          <w:rFonts w:ascii="楷体_GB2312" w:eastAsia="楷体_GB2312" w:hAnsi="楷体_GB2312" w:cs="Arial" w:hint="eastAsia"/>
          <w:sz w:val="28"/>
        </w:rPr>
        <w:t>统计局</w:t>
      </w:r>
    </w:p>
    <w:tbl>
      <w:tblPr>
        <w:tblStyle w:val="TableNormal"/>
        <w:tblW w:w="158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52"/>
        <w:gridCol w:w="667"/>
        <w:gridCol w:w="1250"/>
        <w:gridCol w:w="391"/>
        <w:gridCol w:w="3118"/>
        <w:gridCol w:w="1843"/>
        <w:gridCol w:w="2410"/>
        <w:gridCol w:w="1984"/>
        <w:gridCol w:w="3119"/>
        <w:gridCol w:w="680"/>
      </w:tblGrid>
      <w:tr>
        <w:tblPrEx>
          <w:tblW w:w="158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05"/>
        </w:trPr>
        <w:tc>
          <w:tcPr>
            <w:tcW w:w="352" w:type="dxa"/>
            <w:vAlign w:val="center"/>
          </w:tcPr>
          <w:p>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序号</w:t>
            </w:r>
          </w:p>
        </w:tc>
        <w:tc>
          <w:tcPr>
            <w:tcW w:w="667" w:type="dxa"/>
            <w:vAlign w:val="center"/>
          </w:tcPr>
          <w:p>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权力类型</w:t>
            </w:r>
          </w:p>
        </w:tc>
        <w:tc>
          <w:tcPr>
            <w:tcW w:w="1250" w:type="dxa"/>
            <w:vAlign w:val="center"/>
          </w:tcPr>
          <w:p>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权力事项</w:t>
            </w:r>
          </w:p>
        </w:tc>
        <w:tc>
          <w:tcPr>
            <w:tcW w:w="391" w:type="dxa"/>
            <w:vAlign w:val="center"/>
          </w:tcPr>
          <w:p>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行政主体</w:t>
            </w:r>
          </w:p>
        </w:tc>
        <w:tc>
          <w:tcPr>
            <w:tcW w:w="3118" w:type="dxa"/>
            <w:vAlign w:val="center"/>
          </w:tcPr>
          <w:p>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实施依据</w:t>
            </w:r>
          </w:p>
        </w:tc>
        <w:tc>
          <w:tcPr>
            <w:tcW w:w="1843" w:type="dxa"/>
            <w:vAlign w:val="center"/>
          </w:tcPr>
          <w:p>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责任事项</w:t>
            </w:r>
          </w:p>
        </w:tc>
        <w:tc>
          <w:tcPr>
            <w:tcW w:w="2410" w:type="dxa"/>
            <w:vAlign w:val="center"/>
          </w:tcPr>
          <w:p>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责任事项依据</w:t>
            </w:r>
          </w:p>
        </w:tc>
        <w:tc>
          <w:tcPr>
            <w:tcW w:w="1984" w:type="dxa"/>
            <w:vAlign w:val="center"/>
          </w:tcPr>
          <w:p>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追责情形</w:t>
            </w:r>
          </w:p>
        </w:tc>
        <w:tc>
          <w:tcPr>
            <w:tcW w:w="3119" w:type="dxa"/>
            <w:vAlign w:val="center"/>
          </w:tcPr>
          <w:p>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追责情形依据</w:t>
            </w:r>
          </w:p>
        </w:tc>
        <w:tc>
          <w:tcPr>
            <w:tcW w:w="680" w:type="dxa"/>
            <w:vAlign w:val="center"/>
          </w:tcPr>
          <w:p>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备注</w:t>
            </w:r>
          </w:p>
        </w:tc>
      </w:tr>
      <w:tr>
        <w:tblPrEx>
          <w:tblW w:w="15814" w:type="dxa"/>
          <w:tblInd w:w="0" w:type="dxa"/>
          <w:tblLayout w:type="fixed"/>
          <w:tblCellMar>
            <w:top w:w="0" w:type="dxa"/>
            <w:left w:w="108" w:type="dxa"/>
            <w:bottom w:w="0" w:type="dxa"/>
            <w:right w:w="108" w:type="dxa"/>
          </w:tblCellMar>
        </w:tblPrEx>
        <w:trPr>
          <w:trHeight w:val="680"/>
        </w:trPr>
        <w:tc>
          <w:tcPr>
            <w:tcW w:w="352" w:type="dxa"/>
            <w:vAlign w:val="center"/>
          </w:tcPr>
          <w:p>
            <w:pPr>
              <w:tabs>
                <w:tab w:val="left" w:pos="7937"/>
              </w:tabs>
              <w:spacing w:line="0" w:lineRule="atLeast"/>
              <w:jc w:val="center"/>
              <w:rPr>
                <w:rFonts w:asciiTheme="minorEastAsia" w:eastAsiaTheme="minorEastAsia" w:hAnsiTheme="minorEastAsia" w:cs="仿宋"/>
                <w:sz w:val="16"/>
                <w:szCs w:val="24"/>
              </w:rPr>
            </w:pPr>
            <w:r>
              <w:rPr>
                <w:rFonts w:asciiTheme="minorEastAsia" w:eastAsiaTheme="minorEastAsia" w:hAnsiTheme="minorEastAsia" w:cs="仿宋" w:hint="eastAsia"/>
                <w:sz w:val="16"/>
                <w:szCs w:val="24"/>
              </w:rPr>
              <w:t>1</w:t>
            </w:r>
          </w:p>
        </w:tc>
        <w:tc>
          <w:tcPr>
            <w:tcW w:w="667" w:type="dxa"/>
            <w:vAlign w:val="center"/>
          </w:tcPr>
          <w:p>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行政</w:t>
            </w:r>
          </w:p>
          <w:p>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处罚</w:t>
            </w:r>
          </w:p>
        </w:tc>
        <w:tc>
          <w:tcPr>
            <w:tcW w:w="1250" w:type="dxa"/>
            <w:vAlign w:val="center"/>
          </w:tcPr>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对作为统计调查对象的国家机关、企业事业单位或者其他组织有下列行为之一的：（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六）国家机关、企业事业单位或者其他组织迟报统计资料，或者未按照国家有关规定设置原始记录、统计台账的违法行为的处罚。</w:t>
            </w:r>
          </w:p>
        </w:tc>
        <w:tc>
          <w:tcPr>
            <w:tcW w:w="391" w:type="dxa"/>
            <w:vAlign w:val="center"/>
          </w:tcPr>
          <w:p>
            <w:pPr>
              <w:tabs>
                <w:tab w:val="left" w:pos="7937"/>
              </w:tabs>
              <w:spacing w:line="0" w:lineRule="atLeast"/>
              <w:jc w:val="center"/>
              <w:rPr>
                <w:rFonts w:asciiTheme="minorEastAsia" w:eastAsiaTheme="minorEastAsia" w:hAnsiTheme="minorEastAsia" w:hint="eastAsia"/>
                <w:sz w:val="16"/>
                <w:lang w:eastAsia="zh-CN"/>
              </w:rPr>
            </w:pPr>
            <w:r>
              <w:rPr>
                <w:rFonts w:asciiTheme="minorEastAsia" w:eastAsiaTheme="minorEastAsia" w:hAnsiTheme="minorEastAsia" w:hint="eastAsia"/>
                <w:sz w:val="16"/>
                <w:lang w:eastAsia="zh-CN"/>
              </w:rPr>
              <w:t>双桥区统计局</w:t>
            </w:r>
          </w:p>
        </w:tc>
        <w:tc>
          <w:tcPr>
            <w:tcW w:w="3118" w:type="dxa"/>
            <w:vAlign w:val="center"/>
          </w:tcPr>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中华人民共和国统计法》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r>
              <w:rPr>
                <w:rFonts w:asciiTheme="minorEastAsia" w:eastAsiaTheme="minorEastAsia" w:hAnsiTheme="minorEastAsia" w:hint="eastAsia"/>
                <w:color w:val="000000"/>
                <w:sz w:val="16"/>
                <w:szCs w:val="22"/>
              </w:rPr>
              <w:br w:type="page"/>
            </w:r>
          </w:p>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第四十二条　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tc>
        <w:tc>
          <w:tcPr>
            <w:tcW w:w="1843" w:type="dxa"/>
            <w:vAlign w:val="center"/>
          </w:tcPr>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1.调查取证：执法检查人员不得少于2人，重大案件应组成执法检查组，合法、客观、全面地收集证据。</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2.作出决定：对案件进行讨论审理，确定统计违法行为性质和处理决定，在审理过程中发现统计违法事实不清、证据不足或者程序错误的，应当及时补充或者重新调查。</w:t>
            </w:r>
          </w:p>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3.告知送达：在做出行政处罚决定前，书面告知当事人作出处罚的事实、理由、依据及拟作出的行政处罚决定，并告知当事人依法享有的权利。依法作出处罚决定的，制作《统计行政处罚决定书》，并在作出后7日内送达处罚对象。</w:t>
            </w:r>
            <w:r>
              <w:rPr>
                <w:rFonts w:asciiTheme="minorEastAsia" w:eastAsiaTheme="minorEastAsia" w:hAnsiTheme="minorEastAsia" w:hint="eastAsia"/>
                <w:color w:val="000000"/>
                <w:sz w:val="16"/>
                <w:szCs w:val="22"/>
              </w:rPr>
              <w:br w:type="page"/>
            </w:r>
          </w:p>
        </w:tc>
        <w:tc>
          <w:tcPr>
            <w:tcW w:w="2410" w:type="dxa"/>
            <w:vAlign w:val="center"/>
          </w:tcPr>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 xml:space="preserve">1.《统计执法监督检查办法》（中华人民共和国国家统计局令第28号）第二十九条“立案查处的案件，一般案件执法检查人员不得少于2人，重大案件应当按规定组成执法检查组。” </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统计执法监督检查办法（中华人民共和国国家统计局令第28号）第三十二条：“统计执法监督检查机构应当及时组织召开会议，对案件进行讨论审理，确定统计违法行为性质和处理决定，报统计机构负责人审查。对情节复杂或者重大违法行为给予较重的行政处罚，应当集体讨论决定。在审理过程中发现统计违法事实不清、证据不足或者程序错误的，应当责成执法检查组或者执法检查人员及时补充或者重新调查。”</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统计执法监督检查办法（中华人民共和国国家统计局令第28号）第三十四条：“统计违法事实清楚、证据确凿，依法决定予以行政处罚的，应当在作出行政处罚决定前，制作《统计行政处罚决定告知书》，向处罚对象告知给予行政处罚的事实、理由、依据和处罚对象依法享有的权利……”</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4.统计执法监督检查办法（中华人民共和国国家统计局令第28号）　第三十七条：“县级以上人民政府统计机构应当在《统计行政处罚决定书》作出后7日内送达处罚对象……”</w:t>
            </w:r>
          </w:p>
          <w:p>
            <w:pPr>
              <w:tabs>
                <w:tab w:val="left" w:pos="7937"/>
              </w:tabs>
              <w:spacing w:line="0" w:lineRule="atLeast"/>
              <w:rPr>
                <w:rFonts w:asciiTheme="minorEastAsia" w:eastAsiaTheme="minorEastAsia" w:hAnsiTheme="minorEastAsia"/>
                <w:sz w:val="16"/>
              </w:rPr>
            </w:pPr>
          </w:p>
        </w:tc>
        <w:tc>
          <w:tcPr>
            <w:tcW w:w="1984" w:type="dxa"/>
            <w:vAlign w:val="center"/>
          </w:tcPr>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1.没有法定的处罚依据的；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2.擅自改变处罚种类、幅度的；</w:t>
            </w: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3.违反法定的处罚程序的；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4.违反规定委托处罚的；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5.泄露在检查过程中知悉的国家秘密、商业秘密、个人信息资料和能够识别或者推断单个调查对象身份的资料；</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6.违法实行检查措施或者执行措施，给公民人身或者财产造成损害、给法人或者其他组织造成损失的；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7.滥用职权、徇私舞弊的；</w:t>
            </w:r>
          </w:p>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8.其他违反法律法规规章文件规定的行为。</w:t>
            </w:r>
          </w:p>
        </w:tc>
        <w:tc>
          <w:tcPr>
            <w:tcW w:w="3119" w:type="dxa"/>
            <w:vAlign w:val="center"/>
          </w:tcPr>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2.同1</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3.同1</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4.同1</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5.《 统计执法监督检查办法》（中华人民共和国国家统计局令第28号）第四十六条：“县级以上人民政府统计机构负责人、执法检查人员及其相关人员泄露在检查过程中知悉的国家秘密、商业秘密、个人信息资料和能够识别或者推断单个调查对象身份的资料，依纪依法给予处分。”</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6.《 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7.《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(四)未按法定权限、程序和要求开展统计执法监督检查，造成不良后果；(五)违反保密规定，泄露举报人或者案情；(六)滥用职权，徇私舞弊；(七)其他违纪违法行为。”</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8.同上</w:t>
            </w:r>
          </w:p>
        </w:tc>
        <w:tc>
          <w:tcPr>
            <w:tcW w:w="680" w:type="dxa"/>
            <w:vAlign w:val="center"/>
          </w:tcPr>
          <w:p>
            <w:pPr>
              <w:spacing w:line="0" w:lineRule="atLeast"/>
              <w:jc w:val="center"/>
              <w:rPr>
                <w:rFonts w:asciiTheme="minorEastAsia" w:eastAsiaTheme="minorEastAsia" w:hAnsiTheme="minorEastAsia"/>
                <w:sz w:val="16"/>
              </w:rPr>
            </w:pPr>
          </w:p>
        </w:tc>
      </w:tr>
      <w:tr>
        <w:tblPrEx>
          <w:tblW w:w="15814" w:type="dxa"/>
          <w:tblInd w:w="0" w:type="dxa"/>
          <w:tblLayout w:type="fixed"/>
          <w:tblCellMar>
            <w:top w:w="0" w:type="dxa"/>
            <w:left w:w="108" w:type="dxa"/>
            <w:bottom w:w="0" w:type="dxa"/>
            <w:right w:w="108" w:type="dxa"/>
          </w:tblCellMar>
        </w:tblPrEx>
        <w:trPr>
          <w:trHeight w:val="10048"/>
        </w:trPr>
        <w:tc>
          <w:tcPr>
            <w:tcW w:w="352" w:type="dxa"/>
            <w:vAlign w:val="center"/>
          </w:tcPr>
          <w:p>
            <w:pPr>
              <w:tabs>
                <w:tab w:val="left" w:pos="7937"/>
              </w:tabs>
              <w:spacing w:line="0" w:lineRule="atLeast"/>
              <w:jc w:val="center"/>
              <w:rPr>
                <w:rFonts w:asciiTheme="minorEastAsia" w:eastAsiaTheme="minorEastAsia" w:hAnsiTheme="minorEastAsia" w:cs="仿宋"/>
                <w:sz w:val="16"/>
                <w:szCs w:val="24"/>
              </w:rPr>
            </w:pPr>
            <w:r>
              <w:rPr>
                <w:rFonts w:asciiTheme="minorEastAsia" w:eastAsiaTheme="minorEastAsia" w:hAnsiTheme="minorEastAsia" w:cs="仿宋" w:hint="eastAsia"/>
                <w:sz w:val="16"/>
                <w:szCs w:val="24"/>
              </w:rPr>
              <w:t>2</w:t>
            </w:r>
          </w:p>
        </w:tc>
        <w:tc>
          <w:tcPr>
            <w:tcW w:w="667" w:type="dxa"/>
            <w:vAlign w:val="center"/>
          </w:tcPr>
          <w:p>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行政</w:t>
            </w:r>
          </w:p>
          <w:p>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处罚</w:t>
            </w:r>
          </w:p>
        </w:tc>
        <w:tc>
          <w:tcPr>
            <w:tcW w:w="1250" w:type="dxa"/>
            <w:vAlign w:val="center"/>
          </w:tcPr>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对违反全国经济普查规定的处罚</w:t>
            </w:r>
          </w:p>
        </w:tc>
        <w:tc>
          <w:tcPr>
            <w:tcW w:w="391" w:type="dxa"/>
            <w:vAlign w:val="center"/>
          </w:tcPr>
          <w:p>
            <w:pPr>
              <w:tabs>
                <w:tab w:val="left" w:pos="7937"/>
              </w:tabs>
              <w:spacing w:line="0" w:lineRule="atLeast"/>
              <w:jc w:val="center"/>
              <w:rPr>
                <w:rFonts w:asciiTheme="minorEastAsia" w:eastAsiaTheme="minorEastAsia" w:hAnsiTheme="minorEastAsia" w:hint="eastAsia"/>
                <w:sz w:val="16"/>
                <w:lang w:eastAsia="zh-CN"/>
              </w:rPr>
            </w:pPr>
            <w:r>
              <w:rPr>
                <w:rFonts w:asciiTheme="minorEastAsia" w:eastAsiaTheme="minorEastAsia" w:hAnsiTheme="minorEastAsia" w:hint="eastAsia"/>
                <w:sz w:val="16"/>
                <w:lang w:eastAsia="zh-CN"/>
              </w:rPr>
              <w:t>双桥区统计局</w:t>
            </w:r>
          </w:p>
        </w:tc>
        <w:tc>
          <w:tcPr>
            <w:tcW w:w="3118" w:type="dxa"/>
            <w:vAlign w:val="center"/>
          </w:tcPr>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 xml:space="preserve">《全国经济普查条例》（2004年9月5日国务院令第415号公布 根据2018年8月11日《国务院关于修改〈全国经济普查条例〉的决定》修订）第三十六条第三十六条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asciiTheme="minorEastAsia" w:eastAsiaTheme="minorEastAsia" w:hAnsiTheme="minorEastAsia" w:hint="eastAsia"/>
                <w:color w:val="000000"/>
                <w:sz w:val="16"/>
                <w:szCs w:val="22"/>
              </w:rPr>
              <w:br/>
            </w:r>
            <w:r>
              <w:rPr>
                <w:rFonts w:asciiTheme="minorEastAsia" w:eastAsiaTheme="minorEastAsia" w:hAnsiTheme="minorEastAsia" w:hint="eastAsia"/>
                <w:color w:val="000000"/>
                <w:sz w:val="16"/>
                <w:szCs w:val="22"/>
              </w:rPr>
              <w:t>（一）拒绝或者妨碍接受经济普查机构、经济普查人员依法进行的调查的；</w:t>
            </w:r>
            <w:r>
              <w:rPr>
                <w:rFonts w:asciiTheme="minorEastAsia" w:eastAsiaTheme="minorEastAsia" w:hAnsiTheme="minorEastAsia" w:hint="eastAsia"/>
                <w:color w:val="000000"/>
                <w:sz w:val="16"/>
                <w:szCs w:val="22"/>
              </w:rPr>
              <w:br/>
            </w:r>
            <w:r>
              <w:rPr>
                <w:rFonts w:asciiTheme="minorEastAsia" w:eastAsiaTheme="minorEastAsia" w:hAnsiTheme="minorEastAsia" w:hint="eastAsia"/>
                <w:color w:val="000000"/>
                <w:sz w:val="16"/>
                <w:szCs w:val="22"/>
              </w:rPr>
              <w:t xml:space="preserve">（二）提供虚假或者不完整的经济普查资料的； </w:t>
            </w:r>
            <w:r>
              <w:rPr>
                <w:rFonts w:asciiTheme="minorEastAsia" w:eastAsiaTheme="minorEastAsia" w:hAnsiTheme="minorEastAsia" w:hint="eastAsia"/>
                <w:color w:val="000000"/>
                <w:sz w:val="16"/>
                <w:szCs w:val="22"/>
              </w:rPr>
              <w:br/>
            </w:r>
            <w:r>
              <w:rPr>
                <w:rFonts w:asciiTheme="minorEastAsia" w:eastAsiaTheme="minorEastAsia" w:hAnsiTheme="minorEastAsia" w:hint="eastAsia"/>
                <w:color w:val="000000"/>
                <w:sz w:val="16"/>
                <w:szCs w:val="22"/>
              </w:rPr>
              <w:t xml:space="preserve">（三）未按时提供与经济普查有关的资料，经催报后仍未提供的。 </w:t>
            </w:r>
            <w:r>
              <w:rPr>
                <w:rFonts w:asciiTheme="minorEastAsia" w:eastAsiaTheme="minorEastAsia" w:hAnsiTheme="minorEastAsia" w:hint="eastAsia"/>
                <w:color w:val="000000"/>
                <w:sz w:val="16"/>
                <w:szCs w:val="22"/>
              </w:rPr>
              <w:br/>
            </w:r>
            <w:r>
              <w:rPr>
                <w:rFonts w:asciiTheme="minorEastAsia" w:eastAsiaTheme="minorEastAsia" w:hAnsiTheme="minorEastAsia" w:hint="eastAsia"/>
                <w:color w:val="000000"/>
                <w:sz w:val="16"/>
                <w:szCs w:val="22"/>
              </w:rPr>
              <w:t>　企业事业单位或者其他组织有前款所列行为之一的，可以并处5万元以下的罚款；情节严重的，并处5万元以上20万元以下的罚款。</w:t>
            </w:r>
            <w:r>
              <w:rPr>
                <w:rFonts w:asciiTheme="minorEastAsia" w:eastAsiaTheme="minorEastAsia" w:hAnsiTheme="minorEastAsia" w:hint="eastAsia"/>
                <w:color w:val="000000"/>
                <w:sz w:val="16"/>
                <w:szCs w:val="22"/>
              </w:rPr>
              <w:br/>
            </w:r>
            <w:r>
              <w:rPr>
                <w:rFonts w:asciiTheme="minorEastAsia" w:eastAsiaTheme="minorEastAsia" w:hAnsiTheme="minorEastAsia" w:hint="eastAsia"/>
                <w:color w:val="000000"/>
                <w:sz w:val="16"/>
                <w:szCs w:val="22"/>
              </w:rPr>
              <w:t xml:space="preserve">　个体经营户有本条第一款所列行为之一的，由县级以上人民政府统计机构责令改正，给予警告，可以并处1万元以下的罚款。 </w:t>
            </w:r>
          </w:p>
        </w:tc>
        <w:tc>
          <w:tcPr>
            <w:tcW w:w="1843" w:type="dxa"/>
            <w:vAlign w:val="center"/>
          </w:tcPr>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1.调查取证：执法检查人员不得少于2人，重大案件应组成执法检查组，合法、客观、全面地收集证据。</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2.作出决定：对案件进行讨论审理，确定统计违法行为性质和处理决定，在审理过程中发现统计违法事实不清、证据不足或者程序错误的，应当及时补充或者重新调查。</w:t>
            </w:r>
          </w:p>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3.告知送达：在做出行政处罚决定前，书面告知当事人作出处罚的事实、理由、依据及拟作出的行政处罚决定，并告知当事人依法享有的权利。依法作出处罚决定的，制作《统计行政处罚决定书》，并在作出后7日内送达处罚对象。</w:t>
            </w:r>
            <w:r>
              <w:rPr>
                <w:rFonts w:asciiTheme="minorEastAsia" w:eastAsiaTheme="minorEastAsia" w:hAnsiTheme="minorEastAsia" w:hint="eastAsia"/>
                <w:color w:val="000000"/>
                <w:sz w:val="16"/>
                <w:szCs w:val="22"/>
              </w:rPr>
              <w:br w:type="page"/>
            </w:r>
          </w:p>
        </w:tc>
        <w:tc>
          <w:tcPr>
            <w:tcW w:w="2410" w:type="dxa"/>
            <w:vAlign w:val="center"/>
          </w:tcPr>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 xml:space="preserve">1.《统计执法监督检查办法》（中华人民共和国国家统计局令第28号）第二十九条“立案查处的案件，一般案件执法检查人员不得少于2人，重大案件应当按规定组成执法检查组。” </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统计执法监督检查办法（中华人民共和国国家统计局令第28号）第三十二条：“统计执法监督检查机构应当及时组织召开会议，对案件进行讨论审理，确定统计违法行为性质和处理决定，报统计机构负责人审查。对情节复杂或者重大违法行为给予较重的行政处罚，应当集体讨论决定。在审理过程中发现统计违法事实不清、证据不足或者程序错误的，应当责成执法检查组或者执法检查人员及时补充或者重新调查。”</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统计执法监督检查办法（中华人民共和国国家统计局令第28号）第三十四条：“统计违法事实清楚、证据确凿，依法决定予以行政处罚的，应当在作出行政处罚决定前，制作《统计行政处罚决定告知书》，向处罚对象告知给予行政处罚的事实、理由、依据和处罚对象依法享有的权利……”</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4.统计执法监督检查办法（中华人民共和国国家统计局令第28号）　第三十七条：“县级以上人民政府统计机构应当在《统计行政处罚决定书》作出后7日内送达处罚对象……”</w:t>
            </w:r>
          </w:p>
          <w:p>
            <w:pPr>
              <w:tabs>
                <w:tab w:val="left" w:pos="7937"/>
              </w:tabs>
              <w:spacing w:line="0" w:lineRule="atLeast"/>
              <w:rPr>
                <w:rFonts w:asciiTheme="minorEastAsia" w:eastAsiaTheme="minorEastAsia" w:hAnsiTheme="minorEastAsia"/>
                <w:sz w:val="16"/>
              </w:rPr>
            </w:pPr>
          </w:p>
        </w:tc>
        <w:tc>
          <w:tcPr>
            <w:tcW w:w="1984" w:type="dxa"/>
            <w:vAlign w:val="center"/>
          </w:tcPr>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1.没有法定的处罚依据的；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2.擅自改变处罚种类、幅度的；</w:t>
            </w: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3.违反法定的处罚程序的；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4.违反规定委托处罚的；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5.泄露在检查过程中知悉的国家秘密、商业秘密、个人信息资料和能够识别或者推断单个调查对象身份的资料；</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6.违法实行检查措施或者执行措施，给公民人身或者财产造成损害、给法人或者其他组织造成损失的；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7.滥用职权、徇私舞弊的；</w:t>
            </w:r>
          </w:p>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8.其他违反法律法规规章文件规定的行为。</w:t>
            </w:r>
          </w:p>
        </w:tc>
        <w:tc>
          <w:tcPr>
            <w:tcW w:w="3119" w:type="dxa"/>
            <w:vAlign w:val="center"/>
          </w:tcPr>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2.同1</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3.同1</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4.同1</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5.《 统计执法监督检查办法》（中华人民共和国国家统计局令第28号）第四十六条：“县级以上人民政府统计机构负责人、执法检查人员及其相关人员泄露在检查过程中知悉的国家秘密、商业秘密、个人信息资料和能够识别或者推断单个调查对象身份的资料，依纪依法给予处分。”</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6.《 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7.《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(四)未按法定权限、程序和要求开展统计执法监督检查，造成不良后果；(五)违反保密规定，泄露举报人或者案情；(六)滥用职权，徇私舞弊；(七)其他违纪违法行为。”</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8.同上</w:t>
            </w:r>
          </w:p>
        </w:tc>
        <w:tc>
          <w:tcPr>
            <w:tcW w:w="680" w:type="dxa"/>
            <w:vAlign w:val="center"/>
          </w:tcPr>
          <w:p>
            <w:pPr>
              <w:spacing w:line="0" w:lineRule="atLeast"/>
              <w:jc w:val="center"/>
              <w:rPr>
                <w:rFonts w:asciiTheme="minorEastAsia" w:eastAsiaTheme="minorEastAsia" w:hAnsiTheme="minorEastAsia"/>
                <w:sz w:val="16"/>
              </w:rPr>
            </w:pPr>
          </w:p>
        </w:tc>
      </w:tr>
      <w:tr>
        <w:tblPrEx>
          <w:tblW w:w="15814" w:type="dxa"/>
          <w:tblInd w:w="0" w:type="dxa"/>
          <w:tblLayout w:type="fixed"/>
          <w:tblCellMar>
            <w:top w:w="0" w:type="dxa"/>
            <w:left w:w="108" w:type="dxa"/>
            <w:bottom w:w="0" w:type="dxa"/>
            <w:right w:w="108" w:type="dxa"/>
          </w:tblCellMar>
        </w:tblPrEx>
        <w:trPr>
          <w:trHeight w:val="9764"/>
        </w:trPr>
        <w:tc>
          <w:tcPr>
            <w:tcW w:w="352" w:type="dxa"/>
            <w:vAlign w:val="center"/>
          </w:tcPr>
          <w:p>
            <w:pPr>
              <w:tabs>
                <w:tab w:val="left" w:pos="7937"/>
              </w:tabs>
              <w:spacing w:line="0" w:lineRule="atLeast"/>
              <w:jc w:val="center"/>
              <w:rPr>
                <w:rFonts w:asciiTheme="minorEastAsia" w:eastAsiaTheme="minorEastAsia" w:hAnsiTheme="minorEastAsia" w:cs="仿宋"/>
                <w:sz w:val="16"/>
                <w:szCs w:val="24"/>
              </w:rPr>
            </w:pPr>
            <w:r>
              <w:rPr>
                <w:rFonts w:asciiTheme="minorEastAsia" w:eastAsiaTheme="minorEastAsia" w:hAnsiTheme="minorEastAsia" w:cs="仿宋" w:hint="eastAsia"/>
                <w:sz w:val="16"/>
                <w:szCs w:val="24"/>
              </w:rPr>
              <w:t>3</w:t>
            </w:r>
          </w:p>
        </w:tc>
        <w:tc>
          <w:tcPr>
            <w:tcW w:w="667" w:type="dxa"/>
            <w:vAlign w:val="center"/>
          </w:tcPr>
          <w:p>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行政处罚</w:t>
            </w:r>
          </w:p>
        </w:tc>
        <w:tc>
          <w:tcPr>
            <w:tcW w:w="1250" w:type="dxa"/>
            <w:vAlign w:val="center"/>
          </w:tcPr>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对违反全国农业普查规定的处罚</w:t>
            </w:r>
          </w:p>
        </w:tc>
        <w:tc>
          <w:tcPr>
            <w:tcW w:w="391" w:type="dxa"/>
            <w:vAlign w:val="center"/>
          </w:tcPr>
          <w:p>
            <w:pPr>
              <w:tabs>
                <w:tab w:val="left" w:pos="7937"/>
              </w:tabs>
              <w:spacing w:line="0" w:lineRule="atLeast"/>
              <w:jc w:val="center"/>
              <w:rPr>
                <w:rFonts w:asciiTheme="minorEastAsia" w:eastAsiaTheme="minorEastAsia" w:hAnsiTheme="minorEastAsia" w:hint="eastAsia"/>
                <w:sz w:val="16"/>
                <w:lang w:eastAsia="zh-CN"/>
              </w:rPr>
            </w:pPr>
            <w:r>
              <w:rPr>
                <w:rFonts w:asciiTheme="minorEastAsia" w:eastAsiaTheme="minorEastAsia" w:hAnsiTheme="minorEastAsia" w:hint="eastAsia"/>
                <w:sz w:val="16"/>
                <w:lang w:eastAsia="zh-CN"/>
              </w:rPr>
              <w:t>双桥区统计局</w:t>
            </w:r>
          </w:p>
        </w:tc>
        <w:tc>
          <w:tcPr>
            <w:tcW w:w="3118" w:type="dxa"/>
            <w:vAlign w:val="center"/>
          </w:tcPr>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 xml:space="preserve">《全国农业普查条例》（2006年8月23日国务院第473号令）第三十九条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 </w:t>
            </w:r>
            <w:r>
              <w:rPr>
                <w:rFonts w:asciiTheme="minorEastAsia" w:eastAsiaTheme="minorEastAsia" w:hAnsiTheme="minorEastAsia" w:hint="eastAsia"/>
                <w:color w:val="000000"/>
                <w:sz w:val="16"/>
                <w:szCs w:val="22"/>
              </w:rPr>
              <w:br/>
            </w:r>
            <w:r>
              <w:rPr>
                <w:rFonts w:asciiTheme="minorEastAsia" w:eastAsiaTheme="minorEastAsia" w:hAnsiTheme="minorEastAsia" w:hint="eastAsia"/>
                <w:color w:val="000000"/>
                <w:sz w:val="16"/>
                <w:szCs w:val="22"/>
              </w:rPr>
              <w:t xml:space="preserve">　　（一）拒绝或者妨碍普查办公室、普查人员依法进行调查的； </w:t>
            </w:r>
            <w:r>
              <w:rPr>
                <w:rFonts w:asciiTheme="minorEastAsia" w:eastAsiaTheme="minorEastAsia" w:hAnsiTheme="minorEastAsia" w:hint="eastAsia"/>
                <w:color w:val="000000"/>
                <w:sz w:val="16"/>
                <w:szCs w:val="22"/>
              </w:rPr>
              <w:br/>
            </w:r>
            <w:r>
              <w:rPr>
                <w:rFonts w:asciiTheme="minorEastAsia" w:eastAsiaTheme="minorEastAsia" w:hAnsiTheme="minorEastAsia" w:hint="eastAsia"/>
                <w:color w:val="000000"/>
                <w:sz w:val="16"/>
                <w:szCs w:val="22"/>
              </w:rPr>
              <w:t xml:space="preserve">　　（二）提供虚假或者不完整的农业普查资料的； </w:t>
            </w:r>
            <w:r>
              <w:rPr>
                <w:rFonts w:asciiTheme="minorEastAsia" w:eastAsiaTheme="minorEastAsia" w:hAnsiTheme="minorEastAsia" w:hint="eastAsia"/>
                <w:color w:val="000000"/>
                <w:sz w:val="16"/>
                <w:szCs w:val="22"/>
              </w:rPr>
              <w:br/>
            </w:r>
            <w:r>
              <w:rPr>
                <w:rFonts w:asciiTheme="minorEastAsia" w:eastAsiaTheme="minorEastAsia" w:hAnsiTheme="minorEastAsia" w:hint="eastAsia"/>
                <w:color w:val="000000"/>
                <w:sz w:val="16"/>
                <w:szCs w:val="22"/>
              </w:rPr>
              <w:t xml:space="preserve">　　（三）未按时提供与农业普查有关的资料，经催报后仍未提供的； </w:t>
            </w:r>
            <w:r>
              <w:rPr>
                <w:rFonts w:asciiTheme="minorEastAsia" w:eastAsiaTheme="minorEastAsia" w:hAnsiTheme="minorEastAsia" w:hint="eastAsia"/>
                <w:color w:val="000000"/>
                <w:sz w:val="16"/>
                <w:szCs w:val="22"/>
              </w:rPr>
              <w:br/>
            </w:r>
            <w:r>
              <w:rPr>
                <w:rFonts w:asciiTheme="minorEastAsia" w:eastAsiaTheme="minorEastAsia" w:hAnsiTheme="minorEastAsia" w:hint="eastAsia"/>
                <w:color w:val="000000"/>
                <w:sz w:val="16"/>
                <w:szCs w:val="22"/>
              </w:rPr>
              <w:t xml:space="preserve">（四）拒绝、推诿和阻挠依法进行的农业普查执法检查的； </w:t>
            </w:r>
            <w:r>
              <w:rPr>
                <w:rFonts w:asciiTheme="minorEastAsia" w:eastAsiaTheme="minorEastAsia" w:hAnsiTheme="minorEastAsia" w:hint="eastAsia"/>
                <w:color w:val="000000"/>
                <w:sz w:val="16"/>
                <w:szCs w:val="22"/>
              </w:rPr>
              <w:br/>
            </w:r>
            <w:r>
              <w:rPr>
                <w:rFonts w:asciiTheme="minorEastAsia" w:eastAsiaTheme="minorEastAsia" w:hAnsiTheme="minorEastAsia" w:hint="eastAsia"/>
                <w:color w:val="000000"/>
                <w:sz w:val="16"/>
                <w:szCs w:val="22"/>
              </w:rPr>
              <w:t xml:space="preserve">（五）在接受农业普查执法检查时，转移、隐匿、篡改、毁弃原始记录、统计台账、普查表、会计资料及其他相关资料的。 </w:t>
            </w:r>
            <w:r>
              <w:rPr>
                <w:rFonts w:asciiTheme="minorEastAsia" w:eastAsiaTheme="minorEastAsia" w:hAnsiTheme="minorEastAsia" w:hint="eastAsia"/>
                <w:color w:val="000000"/>
                <w:sz w:val="16"/>
                <w:szCs w:val="22"/>
              </w:rPr>
              <w:br/>
            </w:r>
            <w:r>
              <w:rPr>
                <w:rFonts w:asciiTheme="minorEastAsia" w:eastAsiaTheme="minorEastAsia" w:hAnsiTheme="minorEastAsia" w:hint="eastAsia"/>
                <w:color w:val="000000"/>
                <w:sz w:val="16"/>
                <w:szCs w:val="22"/>
              </w:rPr>
              <w:t>　　农业生产经营单位有前款所列违法行为之一的，由县级以上人民政府统计机构或者国家统计局派出的调查队予以警告，并可以处５万元以下罚款；农业生产经营户有前款所列违法行为之一的，由县级以上人民政府统计机构或者国家统计局派出的调查队予以警告，并可以处１万元以下罚款。</w:t>
            </w:r>
            <w:r>
              <w:rPr>
                <w:rFonts w:asciiTheme="minorEastAsia" w:eastAsiaTheme="minorEastAsia" w:hAnsiTheme="minorEastAsia" w:hint="eastAsia"/>
                <w:color w:val="000000"/>
                <w:sz w:val="16"/>
                <w:szCs w:val="22"/>
              </w:rPr>
              <w:br/>
            </w:r>
            <w:r>
              <w:rPr>
                <w:rFonts w:asciiTheme="minorEastAsia" w:eastAsiaTheme="minorEastAsia" w:hAnsiTheme="minorEastAsia" w:hint="eastAsia"/>
                <w:color w:val="000000"/>
                <w:sz w:val="16"/>
                <w:szCs w:val="22"/>
              </w:rPr>
              <w:t>　　农业普查对象有本条第一款第（一）、（四）项所列违法行为之一的，由公安机关依法给予治安管理处罚。</w:t>
            </w:r>
          </w:p>
        </w:tc>
        <w:tc>
          <w:tcPr>
            <w:tcW w:w="1843" w:type="dxa"/>
            <w:vAlign w:val="center"/>
          </w:tcPr>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1.调查取证：执法检查人员不得少于2人，重大案件应组成执法检查组，合法、客观、全面地收集证据。</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2.作出决定：对案件进行讨论审理，确定统计违法行为性质和处理决定，在审理过程中发现统计违法事实不清、证据不足或者程序错误的，应当及时补充或者重新调查。</w:t>
            </w:r>
          </w:p>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3.告知送达：在做出行政处罚决定前，书面告知当事人作出处罚的事实、理由、依据及拟作出的行政处罚决定，并告知当事人依法享有的权利。依法作出处罚决定的，制作《统计行政处罚决定书》，并在作出后7日内送达处罚对象。</w:t>
            </w:r>
            <w:r>
              <w:rPr>
                <w:rFonts w:asciiTheme="minorEastAsia" w:eastAsiaTheme="minorEastAsia" w:hAnsiTheme="minorEastAsia" w:hint="eastAsia"/>
                <w:color w:val="000000"/>
                <w:sz w:val="16"/>
                <w:szCs w:val="22"/>
              </w:rPr>
              <w:br w:type="page"/>
            </w:r>
          </w:p>
        </w:tc>
        <w:tc>
          <w:tcPr>
            <w:tcW w:w="2410" w:type="dxa"/>
            <w:vAlign w:val="center"/>
          </w:tcPr>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 xml:space="preserve">1.《统计执法监督检查办法》（中华人民共和国国家统计局令第28号）第二十九条“立案查处的案件，一般案件执法检查人员不得少于2人，重大案件应当按规定组成执法检查组。” </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统计执法监督检查办法（中华人民共和国国家统计局令第28号）第三十二条：“统计执法监督检查机构应当及时组织召开会议，对案件进行讨论审理，确定统计违法行为性质和处理决定，报统计机构负责人审查。对情节复杂或者重大违法行为给予较重的行政处罚，应当集体讨论决定。在审理过程中发现统计违法事实不清、证据不足或者程序错误的，应当责成执法检查组或者执法检查人员及时补充或者重新调查。”</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统计执法监督检查办法（中华人民共和国国家统计局令第28号）第三十四条：“统计违法事实清楚、证据确凿，依法决定予以行政处罚的，应当在作出行政处罚决定前，制作《统计行政处罚决定告知书》，向处罚对象告知给予行政处罚的事实、理由、依据和处罚对象依法享有的权利……”</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4.统计执法监督检查办法（中华人民共和国国家统计局令第28号）　第三十七条：“县级以上人民政府统计机构应当在《统计行政处罚决定书》作出后7日内送达处罚对象……”</w:t>
            </w:r>
          </w:p>
          <w:p>
            <w:pPr>
              <w:tabs>
                <w:tab w:val="left" w:pos="7937"/>
              </w:tabs>
              <w:spacing w:line="0" w:lineRule="atLeast"/>
              <w:rPr>
                <w:rFonts w:asciiTheme="minorEastAsia" w:eastAsiaTheme="minorEastAsia" w:hAnsiTheme="minorEastAsia"/>
                <w:sz w:val="16"/>
              </w:rPr>
            </w:pPr>
          </w:p>
        </w:tc>
        <w:tc>
          <w:tcPr>
            <w:tcW w:w="1984" w:type="dxa"/>
            <w:vAlign w:val="center"/>
          </w:tcPr>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1.没有法定的处罚依据的；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2.擅自改变处罚种类、幅度的；</w:t>
            </w: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3.违反法定的处罚程序的；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4.违反规定委托处罚的；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5.泄露在检查过程中知悉的国家秘密、商业秘密、个人信息资料和能够识别或者推断单个调查对象身份的资料；</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6.违法实行检查措施或者执行措施，给公民人身或者财产造成损害、给法人或者其他组织造成损失的；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7.滥用职权、徇私舞弊的；</w:t>
            </w:r>
          </w:p>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8.其他违反法律法规规章文件规定的行为。</w:t>
            </w:r>
          </w:p>
        </w:tc>
        <w:tc>
          <w:tcPr>
            <w:tcW w:w="3119" w:type="dxa"/>
            <w:vAlign w:val="center"/>
          </w:tcPr>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2.同1</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3.同1</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4.同1</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5.《 统计执法监督检查办法》（中华人民共和国国家统计局令第28号）第四十六条：“县级以上人民政府统计机构负责人、执法检查人员及其相关人员泄露在检查过程中知悉的国家秘密、商业秘密、个人信息资料和能够识别或者推断单个调查对象身份的资料，依纪依法给予处分。”</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6.《 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7.《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(四)未按法定权限、程序和要求开展统计执法监督检查，造成不良后果；(五)违反保密规定，泄露举报人或者案情；(六)滥用职权，徇私舞弊；(七)其他违纪违法行为。”</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8.同上</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w:t>
            </w:r>
          </w:p>
        </w:tc>
        <w:tc>
          <w:tcPr>
            <w:tcW w:w="680" w:type="dxa"/>
            <w:vAlign w:val="center"/>
          </w:tcPr>
          <w:p>
            <w:pPr>
              <w:spacing w:line="0" w:lineRule="atLeast"/>
              <w:jc w:val="center"/>
              <w:rPr>
                <w:rFonts w:asciiTheme="minorEastAsia" w:eastAsiaTheme="minorEastAsia" w:hAnsiTheme="minorEastAsia"/>
                <w:sz w:val="16"/>
              </w:rPr>
            </w:pPr>
          </w:p>
        </w:tc>
      </w:tr>
      <w:tr>
        <w:tblPrEx>
          <w:tblW w:w="15814" w:type="dxa"/>
          <w:tblInd w:w="0" w:type="dxa"/>
          <w:tblLayout w:type="fixed"/>
          <w:tblCellMar>
            <w:top w:w="0" w:type="dxa"/>
            <w:left w:w="108" w:type="dxa"/>
            <w:bottom w:w="0" w:type="dxa"/>
            <w:right w:w="108" w:type="dxa"/>
          </w:tblCellMar>
        </w:tblPrEx>
        <w:trPr>
          <w:trHeight w:val="5087"/>
        </w:trPr>
        <w:tc>
          <w:tcPr>
            <w:tcW w:w="352" w:type="dxa"/>
            <w:vAlign w:val="center"/>
          </w:tcPr>
          <w:p>
            <w:pPr>
              <w:tabs>
                <w:tab w:val="left" w:pos="7937"/>
              </w:tabs>
              <w:spacing w:line="0" w:lineRule="atLeast"/>
              <w:jc w:val="center"/>
              <w:rPr>
                <w:rFonts w:asciiTheme="minorEastAsia" w:eastAsiaTheme="minorEastAsia" w:hAnsiTheme="minorEastAsia" w:cs="仿宋"/>
                <w:sz w:val="16"/>
                <w:szCs w:val="24"/>
              </w:rPr>
            </w:pPr>
            <w:r>
              <w:rPr>
                <w:rFonts w:asciiTheme="minorEastAsia" w:eastAsiaTheme="minorEastAsia" w:hAnsiTheme="minorEastAsia" w:cs="仿宋" w:hint="eastAsia"/>
                <w:sz w:val="16"/>
                <w:szCs w:val="24"/>
              </w:rPr>
              <w:t>4</w:t>
            </w:r>
          </w:p>
        </w:tc>
        <w:tc>
          <w:tcPr>
            <w:tcW w:w="667" w:type="dxa"/>
            <w:vAlign w:val="center"/>
          </w:tcPr>
          <w:p>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行政处罚</w:t>
            </w:r>
          </w:p>
        </w:tc>
        <w:tc>
          <w:tcPr>
            <w:tcW w:w="1250" w:type="dxa"/>
            <w:vAlign w:val="center"/>
          </w:tcPr>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对违反统计调查证管理规定的处罚</w:t>
            </w:r>
          </w:p>
        </w:tc>
        <w:tc>
          <w:tcPr>
            <w:tcW w:w="391" w:type="dxa"/>
            <w:vAlign w:val="center"/>
          </w:tcPr>
          <w:p>
            <w:pPr>
              <w:tabs>
                <w:tab w:val="left" w:pos="7937"/>
              </w:tabs>
              <w:spacing w:line="0" w:lineRule="atLeast"/>
              <w:jc w:val="center"/>
              <w:rPr>
                <w:rFonts w:asciiTheme="minorEastAsia" w:eastAsiaTheme="minorEastAsia" w:hAnsiTheme="minorEastAsia" w:hint="eastAsia"/>
                <w:sz w:val="16"/>
                <w:lang w:eastAsia="zh-CN"/>
              </w:rPr>
            </w:pPr>
            <w:r>
              <w:rPr>
                <w:rFonts w:asciiTheme="minorEastAsia" w:eastAsiaTheme="minorEastAsia" w:hAnsiTheme="minorEastAsia" w:hint="eastAsia"/>
                <w:sz w:val="16"/>
                <w:lang w:eastAsia="zh-CN"/>
              </w:rPr>
              <w:t>双桥区统计局</w:t>
            </w:r>
          </w:p>
        </w:tc>
        <w:tc>
          <w:tcPr>
            <w:tcW w:w="3118" w:type="dxa"/>
            <w:vAlign w:val="center"/>
          </w:tcPr>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《统计调查证管理办法》（2017年6月26日国家统计局令第19号）第十二条第十二条　任何单位违反本办法规定，伪造、变造或者冒用统计调查证的，由县级以上人民政府统计机构责令改正，予以警告，予以通报。对非经营活动中发生上述违法行为的，还可以处1000元以下的罚款。对经营活动中发生上述违法行为，有违法所得的，可以处违法所得1倍以上3倍以下但不超过3万元的罚款；没有违法所得，还可以处1万元以下的罚款。</w:t>
            </w:r>
            <w:r>
              <w:rPr>
                <w:rFonts w:asciiTheme="minorEastAsia" w:eastAsiaTheme="minorEastAsia" w:hAnsiTheme="minorEastAsia" w:hint="eastAsia"/>
                <w:color w:val="000000"/>
                <w:sz w:val="16"/>
                <w:szCs w:val="22"/>
              </w:rPr>
              <w:br/>
            </w:r>
            <w:r>
              <w:rPr>
                <w:rFonts w:asciiTheme="minorEastAsia" w:eastAsiaTheme="minorEastAsia" w:hAnsiTheme="minorEastAsia" w:hint="eastAsia"/>
                <w:color w:val="000000"/>
                <w:sz w:val="16"/>
                <w:szCs w:val="22"/>
              </w:rPr>
              <w:t>　　对有前款违法行为的有关责任人员，由县级以上人民政府统计机构责令改正予以警告，可以予以通报，可以处1000元以下的罚款；构成违反治安管理行为的，依法予以治安管理处罚；构成犯罪的，依法追究刑事责任。</w:t>
            </w:r>
          </w:p>
        </w:tc>
        <w:tc>
          <w:tcPr>
            <w:tcW w:w="1843" w:type="dxa"/>
            <w:vMerge w:val="restart"/>
            <w:vAlign w:val="center"/>
          </w:tcPr>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1.调查取证：执法检查人员不得少于2人，重大案件应组成执法检查组，合法、客观、全面地收集证据。</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2.作出决定：对案件进行讨论审理，确定统计违法行为性质和处理决定，在审理过程中发现统计违法事实不清、证据不足或者程序错误的，应当及时补充或者重新调查。</w:t>
            </w:r>
          </w:p>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3.告知送达：在做出行政处罚决定前，书面告知当事人作出处罚的事实、理由、依据及拟作出的行政处罚决定，并告知当事人依法享有的权利。依法作出处罚决定的，制作《统计行政处罚决定书》，并在作出后7日内送达处罚对象。</w:t>
            </w:r>
            <w:r>
              <w:rPr>
                <w:rFonts w:asciiTheme="minorEastAsia" w:eastAsiaTheme="minorEastAsia" w:hAnsiTheme="minorEastAsia" w:hint="eastAsia"/>
                <w:color w:val="000000"/>
                <w:sz w:val="16"/>
                <w:szCs w:val="22"/>
              </w:rPr>
              <w:br w:type="page"/>
            </w:r>
          </w:p>
        </w:tc>
        <w:tc>
          <w:tcPr>
            <w:tcW w:w="2410" w:type="dxa"/>
            <w:vMerge w:val="restart"/>
            <w:vAlign w:val="center"/>
          </w:tcPr>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 xml:space="preserve">1.《统计执法监督检查办法》（中华人民共和国国家统计局令第28号）第二十九条“立案查处的案件，一般案件执法检查人员不得少于2人，重大案件应当按规定组成执法检查组。” </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统计执法监督检查办法（中华人民共和国国家统计局令第28号）第三十二条：“统计执法监督检查机构应当及时组织召开会议，对案件进行讨论审理，确定统计违法行为性质和处理决定，报统计机构负责人审查。对情节复杂或者重大违法行为给予较重的行政处罚，应当集体讨论决定。在审理过程中发现统计违法事实不清、证据不足或者程序错误的，应当责成执法检查组或者执法检查人员及时补充或者重新调查。”</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统计执法监督检查办法（中华人民共和国国家统计局令第28号）第三十四条：“统计违法事实清楚、证据确凿，依法决定予以行政处罚的，应当在作出行政处罚决定前，制作《统计行政处罚决定告知书》，向处罚对象告知给予行政处罚的事实、理由、依据和处罚对象依法享有的权利……”</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4.统计执法监督检查办法（中华人民共和国国家统计局令第28号）　第三十七条：“县级以上人民政府统计机构应当在《统计行政处罚决定书》作出后7日内送达处罚对象……”</w:t>
            </w:r>
          </w:p>
          <w:p>
            <w:pPr>
              <w:tabs>
                <w:tab w:val="left" w:pos="7937"/>
              </w:tabs>
              <w:spacing w:line="0" w:lineRule="atLeast"/>
              <w:rPr>
                <w:rFonts w:asciiTheme="minorEastAsia" w:eastAsiaTheme="minorEastAsia" w:hAnsiTheme="minorEastAsia"/>
                <w:sz w:val="16"/>
              </w:rPr>
            </w:pPr>
          </w:p>
        </w:tc>
        <w:tc>
          <w:tcPr>
            <w:tcW w:w="1984" w:type="dxa"/>
            <w:vMerge w:val="restart"/>
            <w:vAlign w:val="center"/>
          </w:tcPr>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1.没有法定的处罚依据的；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2.擅自改变处罚种类、幅度的；</w:t>
            </w: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3.违反法定的处罚程序的；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4.违反规定委托处罚的；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5.泄露在检查过程中知悉的国家秘密、商业秘密、个人信息资料和能够识别或者推断单个调查对象身份的资料；</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6.违法实行检查措施或者执行措施，给公民人身或者财产造成损害、给法人或者其他组织造成损失的；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7.滥用职权、徇私舞弊的；</w:t>
            </w:r>
          </w:p>
          <w:p>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r>
            <w:r>
              <w:rPr>
                <w:rFonts w:asciiTheme="minorEastAsia" w:eastAsiaTheme="minorEastAsia" w:hAnsiTheme="minorEastAsia" w:hint="eastAsia"/>
                <w:color w:val="000000"/>
                <w:sz w:val="16"/>
                <w:szCs w:val="22"/>
              </w:rPr>
              <w:t>8.其他违反法律法规规章文件规定的行为。</w:t>
            </w:r>
          </w:p>
        </w:tc>
        <w:tc>
          <w:tcPr>
            <w:tcW w:w="3119" w:type="dxa"/>
            <w:vMerge w:val="restart"/>
            <w:vAlign w:val="center"/>
          </w:tcPr>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2.同1</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3.同1</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4.同1</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5.《 统计执法监督检查办法》（中华人民共和国国家统计局令第28号）第四十六条：“县级以上人民政府统计机构负责人、执法检查人员及其相关人员泄露在检查过程中知悉的国家秘密、商业秘密、个人信息资料和能够识别或者推断单个调查对象身份的资料，依纪依法给予处分。”</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6.《 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7.《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四)未按法定权限、程序和要求开展统计执法监督检查，造成不良后果；(五)违反保密规定，泄露举报人或者案情；(六)滥用职权，徇私舞弊；(七)其他违纪违法行为。”</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8.同上</w:t>
            </w:r>
          </w:p>
        </w:tc>
        <w:tc>
          <w:tcPr>
            <w:tcW w:w="680" w:type="dxa"/>
            <w:vMerge w:val="restart"/>
            <w:vAlign w:val="center"/>
          </w:tcPr>
          <w:p>
            <w:pPr>
              <w:spacing w:line="0" w:lineRule="atLeast"/>
              <w:jc w:val="center"/>
              <w:rPr>
                <w:rFonts w:asciiTheme="minorEastAsia" w:eastAsiaTheme="minorEastAsia" w:hAnsiTheme="minorEastAsia"/>
                <w:sz w:val="16"/>
              </w:rPr>
            </w:pPr>
          </w:p>
        </w:tc>
      </w:tr>
      <w:tr>
        <w:tblPrEx>
          <w:tblW w:w="15814" w:type="dxa"/>
          <w:tblInd w:w="0" w:type="dxa"/>
          <w:tblLayout w:type="fixed"/>
          <w:tblCellMar>
            <w:top w:w="0" w:type="dxa"/>
            <w:left w:w="108" w:type="dxa"/>
            <w:bottom w:w="0" w:type="dxa"/>
            <w:right w:w="108" w:type="dxa"/>
          </w:tblCellMar>
        </w:tblPrEx>
        <w:trPr>
          <w:trHeight w:val="4959"/>
        </w:trPr>
        <w:tc>
          <w:tcPr>
            <w:tcW w:w="352"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0" w:lineRule="atLeast"/>
              <w:jc w:val="center"/>
              <w:rPr>
                <w:rFonts w:asciiTheme="minorEastAsia" w:eastAsiaTheme="minorEastAsia" w:hAnsiTheme="minorEastAsia" w:cs="仿宋"/>
                <w:sz w:val="16"/>
                <w:szCs w:val="24"/>
              </w:rPr>
            </w:pPr>
            <w:r>
              <w:rPr>
                <w:rFonts w:asciiTheme="minorEastAsia" w:eastAsiaTheme="minorEastAsia" w:hAnsiTheme="minorEastAsia" w:cs="仿宋" w:hint="eastAsia"/>
                <w:sz w:val="16"/>
                <w:szCs w:val="24"/>
              </w:rPr>
              <w:t>5</w:t>
            </w:r>
          </w:p>
        </w:tc>
        <w:tc>
          <w:tcPr>
            <w:tcW w:w="667"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行政处罚</w:t>
            </w:r>
          </w:p>
        </w:tc>
        <w:tc>
          <w:tcPr>
            <w:tcW w:w="1250" w:type="dxa"/>
            <w:tcBorders>
              <w:top w:val="single" w:sz="4" w:space="0" w:color="auto"/>
              <w:left w:val="single" w:sz="4" w:space="0" w:color="auto"/>
              <w:bottom w:val="single" w:sz="4" w:space="0" w:color="auto"/>
              <w:right w:val="single" w:sz="4" w:space="0" w:color="auto"/>
            </w:tcBorders>
            <w:vAlign w:val="center"/>
          </w:tcPr>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对组织实施营利性统计调查的处罚</w:t>
            </w:r>
          </w:p>
        </w:tc>
        <w:tc>
          <w:tcPr>
            <w:tcW w:w="391"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0" w:lineRule="atLeast"/>
              <w:jc w:val="center"/>
              <w:rPr>
                <w:rFonts w:asciiTheme="minorEastAsia" w:eastAsiaTheme="minorEastAsia" w:hAnsiTheme="minorEastAsia" w:hint="eastAsia"/>
                <w:color w:val="000000"/>
                <w:sz w:val="16"/>
                <w:szCs w:val="22"/>
                <w:lang w:eastAsia="zh-CN"/>
              </w:rPr>
            </w:pPr>
            <w:r>
              <w:rPr>
                <w:rFonts w:asciiTheme="minorEastAsia" w:eastAsiaTheme="minorEastAsia" w:hAnsiTheme="minorEastAsia" w:hint="eastAsia"/>
                <w:color w:val="000000"/>
                <w:sz w:val="16"/>
                <w:szCs w:val="22"/>
                <w:lang w:eastAsia="zh-CN"/>
              </w:rPr>
              <w:t>双桥区统计局</w:t>
            </w:r>
          </w:p>
        </w:tc>
        <w:tc>
          <w:tcPr>
            <w:tcW w:w="3118" w:type="dxa"/>
            <w:tcBorders>
              <w:top w:val="single" w:sz="4" w:space="0" w:color="auto"/>
              <w:left w:val="single" w:sz="4" w:space="0" w:color="auto"/>
              <w:bottom w:val="single" w:sz="4" w:space="0" w:color="auto"/>
            </w:tcBorders>
            <w:vAlign w:val="center"/>
          </w:tcPr>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《中华人民共和国统计法实施条例》（2017年4月12日国务院第168次常务会议通过 自2017年8月1日起施行）第四十一条　县级以上人民政府统计机构或者有关部门组织实施营利性统计调查的，由本级人民政府、上级人民政府统计机构或者本级人民政府统计机构责令改正，予以通报；有违法所得的，没收违法所得。</w:t>
            </w:r>
          </w:p>
        </w:tc>
        <w:tc>
          <w:tcPr>
            <w:tcW w:w="1843" w:type="dxa"/>
            <w:vMerge/>
            <w:tcBorders>
              <w:bottom w:val="single" w:sz="4" w:space="0" w:color="auto"/>
            </w:tcBorders>
            <w:vAlign w:val="center"/>
          </w:tcPr>
          <w:p>
            <w:pPr>
              <w:tabs>
                <w:tab w:val="left" w:pos="7937"/>
              </w:tabs>
              <w:spacing w:line="0" w:lineRule="atLeast"/>
              <w:rPr>
                <w:rFonts w:asciiTheme="minorEastAsia" w:eastAsiaTheme="minorEastAsia" w:hAnsiTheme="minorEastAsia"/>
                <w:sz w:val="16"/>
              </w:rPr>
            </w:pPr>
          </w:p>
        </w:tc>
        <w:tc>
          <w:tcPr>
            <w:tcW w:w="2410" w:type="dxa"/>
            <w:vMerge/>
            <w:tcBorders>
              <w:bottom w:val="single" w:sz="4" w:space="0" w:color="auto"/>
            </w:tcBorders>
            <w:vAlign w:val="center"/>
          </w:tcPr>
          <w:p>
            <w:pPr>
              <w:tabs>
                <w:tab w:val="left" w:pos="7937"/>
              </w:tabs>
              <w:spacing w:line="0" w:lineRule="atLeast"/>
              <w:rPr>
                <w:rFonts w:asciiTheme="minorEastAsia" w:eastAsiaTheme="minorEastAsia" w:hAnsiTheme="minorEastAsia"/>
                <w:sz w:val="16"/>
              </w:rPr>
            </w:pPr>
          </w:p>
        </w:tc>
        <w:tc>
          <w:tcPr>
            <w:tcW w:w="1984" w:type="dxa"/>
            <w:vMerge/>
            <w:tcBorders>
              <w:bottom w:val="single" w:sz="4" w:space="0" w:color="auto"/>
            </w:tcBorders>
            <w:vAlign w:val="center"/>
          </w:tcPr>
          <w:p>
            <w:pPr>
              <w:tabs>
                <w:tab w:val="left" w:pos="7937"/>
              </w:tabs>
              <w:spacing w:line="0" w:lineRule="atLeast"/>
              <w:rPr>
                <w:rFonts w:asciiTheme="minorEastAsia" w:eastAsiaTheme="minorEastAsia" w:hAnsiTheme="minorEastAsia"/>
                <w:sz w:val="16"/>
              </w:rPr>
            </w:pPr>
          </w:p>
        </w:tc>
        <w:tc>
          <w:tcPr>
            <w:tcW w:w="3119" w:type="dxa"/>
            <w:vMerge/>
            <w:tcBorders>
              <w:bottom w:val="single" w:sz="4" w:space="0" w:color="auto"/>
            </w:tcBorders>
            <w:vAlign w:val="center"/>
          </w:tcPr>
          <w:p>
            <w:pPr>
              <w:tabs>
                <w:tab w:val="left" w:pos="7937"/>
              </w:tabs>
              <w:spacing w:line="0" w:lineRule="atLeast"/>
              <w:rPr>
                <w:rFonts w:asciiTheme="minorEastAsia" w:eastAsiaTheme="minorEastAsia" w:hAnsiTheme="minorEastAsia"/>
                <w:sz w:val="16"/>
              </w:rPr>
            </w:pPr>
          </w:p>
        </w:tc>
        <w:tc>
          <w:tcPr>
            <w:tcW w:w="680" w:type="dxa"/>
            <w:vMerge/>
            <w:tcBorders>
              <w:bottom w:val="single" w:sz="4" w:space="0" w:color="auto"/>
            </w:tcBorders>
            <w:vAlign w:val="center"/>
          </w:tcPr>
          <w:p>
            <w:pPr>
              <w:spacing w:line="0" w:lineRule="atLeast"/>
              <w:jc w:val="center"/>
              <w:rPr>
                <w:rFonts w:asciiTheme="minorEastAsia" w:eastAsiaTheme="minorEastAsia" w:hAnsiTheme="minorEastAsia"/>
                <w:sz w:val="16"/>
              </w:rPr>
            </w:pPr>
          </w:p>
        </w:tc>
      </w:tr>
      <w:tr>
        <w:tblPrEx>
          <w:tblW w:w="15814" w:type="dxa"/>
          <w:tblInd w:w="0" w:type="dxa"/>
          <w:tblLayout w:type="fixed"/>
          <w:tblCellMar>
            <w:top w:w="0" w:type="dxa"/>
            <w:left w:w="108" w:type="dxa"/>
            <w:bottom w:w="0" w:type="dxa"/>
            <w:right w:w="108" w:type="dxa"/>
          </w:tblCellMar>
        </w:tblPrEx>
        <w:trPr>
          <w:trHeight w:val="9623"/>
        </w:trPr>
        <w:tc>
          <w:tcPr>
            <w:tcW w:w="352"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0" w:lineRule="atLeast"/>
              <w:jc w:val="center"/>
              <w:rPr>
                <w:rFonts w:asciiTheme="minorEastAsia" w:eastAsiaTheme="minorEastAsia" w:hAnsiTheme="minorEastAsia" w:cs="仿宋"/>
                <w:sz w:val="16"/>
                <w:szCs w:val="24"/>
              </w:rPr>
            </w:pPr>
            <w:r>
              <w:rPr>
                <w:rFonts w:asciiTheme="minorEastAsia" w:eastAsiaTheme="minorEastAsia" w:hAnsiTheme="minorEastAsia" w:cs="仿宋" w:hint="eastAsia"/>
                <w:sz w:val="16"/>
                <w:szCs w:val="24"/>
              </w:rPr>
              <w:t>6</w:t>
            </w:r>
          </w:p>
        </w:tc>
        <w:tc>
          <w:tcPr>
            <w:tcW w:w="667"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行政检查</w:t>
            </w:r>
          </w:p>
        </w:tc>
        <w:tc>
          <w:tcPr>
            <w:tcW w:w="1250" w:type="dxa"/>
            <w:tcBorders>
              <w:top w:val="single" w:sz="4" w:space="0" w:color="auto"/>
              <w:left w:val="single" w:sz="4" w:space="0" w:color="auto"/>
              <w:bottom w:val="single" w:sz="4" w:space="0" w:color="auto"/>
              <w:right w:val="single" w:sz="4" w:space="0" w:color="auto"/>
            </w:tcBorders>
            <w:vAlign w:val="center"/>
          </w:tcPr>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对统计调查对象遵守统计法律法规规章、统计调查制度情况的检查</w:t>
            </w:r>
          </w:p>
        </w:tc>
        <w:tc>
          <w:tcPr>
            <w:tcW w:w="391"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0" w:lineRule="atLeast"/>
              <w:jc w:val="center"/>
              <w:rPr>
                <w:rFonts w:asciiTheme="minorEastAsia" w:eastAsiaTheme="minorEastAsia" w:hAnsiTheme="minorEastAsia" w:hint="eastAsia"/>
                <w:sz w:val="16"/>
                <w:lang w:eastAsia="zh-CN"/>
              </w:rPr>
            </w:pPr>
            <w:r>
              <w:rPr>
                <w:rFonts w:asciiTheme="minorEastAsia" w:eastAsiaTheme="minorEastAsia" w:hAnsiTheme="minorEastAsia" w:hint="eastAsia"/>
                <w:sz w:val="16"/>
                <w:lang w:eastAsia="zh-CN"/>
              </w:rPr>
              <w:t>双桥区统计局</w:t>
            </w:r>
          </w:p>
        </w:tc>
        <w:tc>
          <w:tcPr>
            <w:tcW w:w="3118" w:type="dxa"/>
            <w:tcBorders>
              <w:top w:val="single" w:sz="4" w:space="0" w:color="auto"/>
              <w:left w:val="single" w:sz="4" w:space="0" w:color="auto"/>
              <w:bottom w:val="single" w:sz="4" w:space="0" w:color="auto"/>
              <w:right w:val="single" w:sz="4" w:space="0" w:color="auto"/>
            </w:tcBorders>
            <w:vAlign w:val="center"/>
          </w:tcPr>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《中华人民共和国统计法》第三十三条　国家统计局组织管理全国统计工作的监督检查，查处重大统计违法行为。</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 xml:space="preserve">    县级以上地方人民政府统计机构依法查处本行政区域内发生的统计违法行为。但是，国家统计局派出的调查机构组织实施的统计调查活动中发生的统计违法行为，由组织实施该项统计调查的调查机构负责查处。</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 xml:space="preserve">    法律、行政法规对有关部门查处统计违法行为另有规定的，从其规定。</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《统计执法监督检查办法》第十四条　统计执法监督检查事项包括：</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（一）地方各级人民政府、政府统计机构和有关部门以及各单位及其负责人遵守、执行统计法律法规规章和国家统计规则、政令情况；</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（二）地方各级人民政府、政府统计机构和有关部门建立防范和惩治统计造假、弄虚作假责任制和问责制情况；</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（三）统计机构和统计人员依法独立行使统计调查、统计报告、统计监督职权情况；</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（四）国家机关、企业事业单位和其他组织以及个体工商户和个人等统计调查对象遵守统计法律法规规章、统计调查制度情况；</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（五）依法开展涉外统计调查和民间统计调查情况；</w:t>
            </w:r>
          </w:p>
          <w:p>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（六）法律法规规章规定的其他事项。</w:t>
            </w:r>
          </w:p>
        </w:tc>
        <w:tc>
          <w:tcPr>
            <w:tcW w:w="1843"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1.检查告知：在实施检查前告知被检查对象实施检查的行政主体名称，检查的依据、范围、内容和方式，以及相应的法律责任，监督检查人员不得少于二人，并应当出示执法证件；</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2.实施检查：依据《</w:t>
            </w:r>
            <w:r>
              <w:rPr>
                <w:rFonts w:asciiTheme="minorEastAsia" w:eastAsiaTheme="minorEastAsia" w:hAnsiTheme="minorEastAsia" w:hint="eastAsia"/>
                <w:color w:val="000000"/>
                <w:sz w:val="16"/>
                <w:szCs w:val="22"/>
              </w:rPr>
              <w:t>中华人民共和国统计法</w:t>
            </w:r>
            <w:r>
              <w:rPr>
                <w:rFonts w:asciiTheme="minorEastAsia" w:eastAsiaTheme="minorEastAsia" w:hAnsiTheme="minorEastAsia" w:hint="eastAsia"/>
                <w:sz w:val="16"/>
              </w:rPr>
              <w:t>》第三十五条的规定，行使检查职权。</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3.结果处理：检查结束后，依据检查情况反馈、公示检查结果。发现有统计违法行为，符合立案查处条件的，予以立案查处。</w:t>
            </w:r>
          </w:p>
          <w:p>
            <w:pPr>
              <w:tabs>
                <w:tab w:val="left" w:pos="7937"/>
              </w:tabs>
              <w:spacing w:line="0" w:lineRule="atLeast"/>
              <w:rPr>
                <w:rFonts w:asciiTheme="minorEastAsia" w:eastAsiaTheme="minorEastAsia" w:hAnsiTheme="minorEastAsia"/>
                <w:sz w:val="16"/>
              </w:rPr>
            </w:pPr>
          </w:p>
        </w:tc>
        <w:tc>
          <w:tcPr>
            <w:tcW w:w="2410"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 统计执法监督检查办法（中华人民共和国国家统计局令第28号第十八条：“统计执法监督检查机构进行执法监督检查时，执法检查人员不得少于2名，并应当出示国家统计局统一颁发的统计执法证，告知检查对象和有关单位实施检查的人民政府统计机构名称，检查的依据、范围、内容和方式，以及相应的权利、义务和法律责任。未出示统计执法证的，有关单位和个人有权拒绝接受检查。”</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 统计执法监督检查办法（中华人民共和国国家统计局令第28号第十九条：“县级以上人民政府统计机构调查统计违法行为或者核查统计数据时，依据《</w:t>
            </w:r>
            <w:r>
              <w:rPr>
                <w:rFonts w:asciiTheme="minorEastAsia" w:eastAsiaTheme="minorEastAsia" w:hAnsiTheme="minorEastAsia" w:hint="eastAsia"/>
                <w:color w:val="000000"/>
                <w:sz w:val="16"/>
                <w:szCs w:val="22"/>
              </w:rPr>
              <w:t>中华人民共和国统计法</w:t>
            </w:r>
            <w:bookmarkStart w:id="0" w:name="_GoBack"/>
            <w:bookmarkEnd w:id="0"/>
            <w:r>
              <w:rPr>
                <w:rFonts w:asciiTheme="minorEastAsia" w:eastAsiaTheme="minorEastAsia" w:hAnsiTheme="minorEastAsia" w:hint="eastAsia"/>
                <w:sz w:val="16"/>
              </w:rPr>
              <w:t>》第三十五条的规定，行使统计执法监督检查职权。”</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 统计执法监督检查办法（中华人民共和国国家统计局令第28号第二十三条：“统计执法监督检查机构应当在调查结束后，及时向所属人民政府统计机构提交监督检查报告，报告检查中发现的问题并提出处理建议。处理建议包括：（一）发现有统计违法行为，符合立案查处条件的，予以立案查处；（二）发现统计违法事实不清、证据不足或者程序错误的，应当及时补充或者重新调查；</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（三）按照违法行为性质、情节，提请上一级或者移交下级人民政府统计机构立案查处；</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（四）未发现统计违法行为或者统计违法事实轻微，依法不应追究法律责任的，不予处理。”</w:t>
            </w:r>
          </w:p>
        </w:tc>
        <w:tc>
          <w:tcPr>
            <w:tcW w:w="1984"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1.未告知被检查对象实施检查的人民政府统计机构名称，检查的依据、范围、内容和方式，以及相应的权利、义务和法律责任；</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2.未按法定权限、程序和要求开展统计执法监督检查，造成不良后果；</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3.泄露在检查过程中知悉的国家秘密、商业秘密、个人信息资料和能够识别或者推断单个调查对象身份的资料；</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4.其他违反法律法规规章文件规定的行为。</w:t>
            </w:r>
          </w:p>
        </w:tc>
        <w:tc>
          <w:tcPr>
            <w:tcW w:w="3119" w:type="dxa"/>
            <w:tcBorders>
              <w:top w:val="single" w:sz="4" w:space="0" w:color="auto"/>
              <w:left w:val="single" w:sz="4" w:space="0" w:color="auto"/>
              <w:bottom w:val="single" w:sz="4" w:space="0" w:color="auto"/>
              <w:right w:val="single" w:sz="4" w:space="0" w:color="auto"/>
            </w:tcBorders>
            <w:vAlign w:val="center"/>
          </w:tcPr>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 统计执法监督检查办法（中华人民共和国国家统计局令第28号第十八条：“统计执法监督检查机构进行执法监督检查时，执法检查人员不得少于2名，并应当出示国家统计局统一颁发的统计执法证，告知检查对象和有关单位实施检查的人民政府统计机构名称，检查的依据、范围、内容和方式，以及相应的权利、义务和法律责任。未出示统计执法证的，有关单位和个人有权拒绝接受检查。”</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四)未按法定权限、程序和要求开展统计执法监督检查，造成不良后果；(五)违反保密规定，泄露举报人或者案情；(六)滥用职权，徇私舞弊；(七)其他违纪违法行为。”</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3.同2</w:t>
            </w:r>
          </w:p>
          <w:p>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4.同2</w:t>
            </w:r>
          </w:p>
        </w:tc>
        <w:tc>
          <w:tcPr>
            <w:tcW w:w="680"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Theme="minorEastAsia" w:eastAsiaTheme="minorEastAsia" w:hAnsiTheme="minorEastAsia"/>
                <w:sz w:val="16"/>
              </w:rPr>
            </w:pPr>
          </w:p>
        </w:tc>
      </w:tr>
    </w:tbl>
    <w:p>
      <w:pPr>
        <w:spacing w:line="600" w:lineRule="exact"/>
        <w:rPr>
          <w:rFonts w:ascii="仿宋_GB2312"/>
        </w:rPr>
      </w:pPr>
    </w:p>
    <w:sectPr>
      <w:footerReference w:type="default" r:id="rId5"/>
      <w:pgSz w:w="16838" w:h="11906" w:orient="landscape"/>
      <w:pgMar w:top="567" w:right="567" w:bottom="567" w:left="567" w:header="851" w:footer="992" w:gutter="0"/>
      <w:pgNumType w:fmt="numberInDash"/>
      <w:cols w:num="1" w:space="720"/>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r>
      <w:pict>
        <v:shapetype id="_x0000_t202" coordsize="21600,21600" o:spt="202" path="m,l,21600r21600,l21600,xe">
          <v:stroke joinstyle="miter"/>
          <v:path gradientshapeok="t" o:connecttype="rect"/>
        </v:shapetype>
        <v:shape id="_x0000_s4097" o:spid="_x0000_s2049" type="#_x0000_t202" style="width:2in;height:2in;margin-top:0;margin-left:0;mso-height-relative:page;mso-position-horizontal:center;mso-position-horizontal-relative:margin;mso-width-relative:page;mso-wrap-style:none;position:absolute;z-index:251658240" coordsize="21600,21600" filled="f" stroked="f">
          <v:stroke joinstyle="miter"/>
          <v:textbox style="mso-fit-shape-to-text:t" inset="0,0,0,0">
            <w:txbxContent>
              <w:p>
                <w:pPr>
                  <w:pStyle w:val="Footer"/>
                  <w:rPr>
                    <w:rStyle w:val="PageNumber"/>
                  </w:rPr>
                </w:pPr>
                <w:r>
                  <w:rPr>
                    <w:rFonts w:ascii="宋体" w:eastAsia="宋体" w:hAnsi="宋体" w:cs="宋体" w:hint="eastAsia"/>
                    <w:sz w:val="28"/>
                    <w:szCs w:val="28"/>
                  </w:rPr>
                  <w:fldChar w:fldCharType="begin"/>
                </w:r>
                <w:r>
                  <w:rPr>
                    <w:rStyle w:val="PageNumber"/>
                    <w:rFonts w:ascii="宋体" w:eastAsia="宋体" w:hAnsi="宋体" w:cs="宋体" w:hint="eastAsia"/>
                    <w:sz w:val="28"/>
                    <w:szCs w:val="28"/>
                  </w:rPr>
                  <w:instrText xml:space="preserve">PAGE  </w:instrText>
                </w:r>
                <w:r>
                  <w:rPr>
                    <w:rFonts w:ascii="宋体" w:eastAsia="宋体" w:hAnsi="宋体" w:cs="宋体" w:hint="eastAsia"/>
                    <w:sz w:val="28"/>
                    <w:szCs w:val="28"/>
                  </w:rPr>
                  <w:fldChar w:fldCharType="separate"/>
                </w:r>
                <w:r>
                  <w:rPr>
                    <w:rStyle w:val="PageNumber"/>
                    <w:rFonts w:ascii="宋体" w:eastAsia="宋体" w:hAnsi="宋体" w:cs="宋体"/>
                    <w:sz w:val="28"/>
                    <w:szCs w:val="28"/>
                  </w:rPr>
                  <w:t>- 4 -</w:t>
                </w:r>
                <w:r>
                  <w:rPr>
                    <w:rFonts w:ascii="宋体" w:eastAsia="宋体" w:hAnsi="宋体" w:cs="宋体" w:hint="eastAsia"/>
                    <w:sz w:val="28"/>
                    <w:szCs w:val="28"/>
                  </w:rPr>
                  <w:fldChar w:fldCharType="end"/>
                </w:r>
              </w:p>
            </w:txbxContent>
          </v:textbox>
          <w10:wrap anchorx="margin"/>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112F"/>
    <w:rsid w:val="00172A27"/>
    <w:rsid w:val="00197758"/>
    <w:rsid w:val="00207AA6"/>
    <w:rsid w:val="00292884"/>
    <w:rsid w:val="002B264B"/>
    <w:rsid w:val="002F5ECE"/>
    <w:rsid w:val="00450285"/>
    <w:rsid w:val="00483BB5"/>
    <w:rsid w:val="004D6B11"/>
    <w:rsid w:val="005304B0"/>
    <w:rsid w:val="006640C6"/>
    <w:rsid w:val="00931BE2"/>
    <w:rsid w:val="00965499"/>
    <w:rsid w:val="009B507D"/>
    <w:rsid w:val="00A47A12"/>
    <w:rsid w:val="00B317CF"/>
    <w:rsid w:val="00B57D94"/>
    <w:rsid w:val="00BE6B88"/>
    <w:rsid w:val="00CB63AF"/>
    <w:rsid w:val="00DF2E76"/>
    <w:rsid w:val="00EC4E3F"/>
    <w:rsid w:val="00EF75A7"/>
    <w:rsid w:val="00F7409D"/>
    <w:rsid w:val="038F1C10"/>
    <w:rsid w:val="05113609"/>
    <w:rsid w:val="05C43A26"/>
    <w:rsid w:val="061E7CF8"/>
    <w:rsid w:val="06592C2E"/>
    <w:rsid w:val="0A36020E"/>
    <w:rsid w:val="0AAD7608"/>
    <w:rsid w:val="11DA4857"/>
    <w:rsid w:val="13C26830"/>
    <w:rsid w:val="16073D5A"/>
    <w:rsid w:val="180A2DE4"/>
    <w:rsid w:val="20BC5F46"/>
    <w:rsid w:val="26B72CCB"/>
    <w:rsid w:val="2C950BF0"/>
    <w:rsid w:val="2D985D01"/>
    <w:rsid w:val="2FB94262"/>
    <w:rsid w:val="335260EE"/>
    <w:rsid w:val="3655740A"/>
    <w:rsid w:val="3B09665A"/>
    <w:rsid w:val="3B3D70B0"/>
    <w:rsid w:val="3D5222E5"/>
    <w:rsid w:val="3FBF7A24"/>
    <w:rsid w:val="467F3CDA"/>
    <w:rsid w:val="49503313"/>
    <w:rsid w:val="4BA74C54"/>
    <w:rsid w:val="4DB866BE"/>
    <w:rsid w:val="500C4746"/>
    <w:rsid w:val="50DE6749"/>
    <w:rsid w:val="52077A45"/>
    <w:rsid w:val="520D09B6"/>
    <w:rsid w:val="57344F96"/>
    <w:rsid w:val="57A157F2"/>
    <w:rsid w:val="57C34286"/>
    <w:rsid w:val="5C5D7EB2"/>
    <w:rsid w:val="61D702F8"/>
    <w:rsid w:val="6433559C"/>
    <w:rsid w:val="6798011D"/>
    <w:rsid w:val="68744927"/>
    <w:rsid w:val="690A7608"/>
    <w:rsid w:val="6C301F38"/>
    <w:rsid w:val="6EAF37B0"/>
    <w:rsid w:val="6FB329E1"/>
    <w:rsid w:val="6FEF72CB"/>
    <w:rsid w:val="70474568"/>
    <w:rsid w:val="7252200A"/>
    <w:rsid w:val="73020B1B"/>
    <w:rsid w:val="76B25C0C"/>
    <w:rsid w:val="78D55F29"/>
    <w:rsid w:val="79147801"/>
    <w:rsid w:val="7DD43523"/>
  </w:rsids>
  <w:docVars>
    <w:docVar w:name="commondata" w:val="eyJoZGlkIjoiMzIxYWEyYzhiOTE5ZDkwOGFkM2RmODlmMGFjNTkxNj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32"/>
      <w:lang w:val="en-US" w:eastAsia="zh-CN" w:bidi="ar-SA"/>
    </w:rPr>
  </w:style>
  <w:style w:type="paragraph" w:styleId="Heading3">
    <w:name w:val="heading 3"/>
    <w:basedOn w:val="Normal"/>
    <w:next w:val="Normal"/>
    <w:qFormat/>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0"/>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PageNumber">
    <w:name w:val="page number"/>
    <w:basedOn w:val="DefaultParagraphFont"/>
    <w:qFormat/>
  </w:style>
  <w:style w:type="character" w:customStyle="1" w:styleId="1">
    <w:name w:val="页码1"/>
    <w:basedOn w:val="DefaultParagraphFont"/>
    <w:qFormat/>
  </w:style>
  <w:style w:type="paragraph" w:customStyle="1" w:styleId="a">
    <w:name w:val="一级条标题"/>
    <w:next w:val="a0"/>
    <w:qFormat/>
    <w:pPr>
      <w:outlineLvl w:val="2"/>
    </w:pPr>
    <w:rPr>
      <w:rFonts w:ascii="Times New Roman" w:eastAsia="黑体" w:hAnsi="Times New Roman" w:cs="Times New Roman"/>
      <w:sz w:val="21"/>
      <w:lang w:val="en-US" w:eastAsia="zh-CN" w:bidi="ar-SA"/>
    </w:rPr>
  </w:style>
  <w:style w:type="paragraph" w:customStyle="1" w:styleId="a0">
    <w:name w:val="段"/>
    <w:qFormat/>
    <w:pPr>
      <w:tabs>
        <w:tab w:val="center" w:pos="4201"/>
        <w:tab w:val="right" w:leader="dot" w:pos="9298"/>
      </w:tabs>
      <w:autoSpaceDE w:val="0"/>
      <w:autoSpaceDN w:val="0"/>
      <w:ind w:firstLine="420" w:firstLineChars="200"/>
      <w:jc w:val="both"/>
    </w:pPr>
    <w:rPr>
      <w:rFonts w:ascii="宋体" w:eastAsia="宋体" w:hAnsi="Times New Roman" w:cs="Times New Roman"/>
      <w:sz w:val="21"/>
      <w:lang w:val="en-US" w:eastAsia="zh-CN" w:bidi="ar-SA"/>
    </w:rPr>
  </w:style>
  <w:style w:type="paragraph" w:customStyle="1" w:styleId="Char">
    <w:name w:val="Char"/>
    <w:basedOn w:val="Normal"/>
    <w:qFormat/>
    <w:pPr>
      <w:snapToGrid w:val="0"/>
      <w:spacing w:afterLines="50" w:line="360" w:lineRule="auto"/>
      <w:ind w:firstLine="480" w:firstLineChars="200"/>
    </w:pPr>
  </w:style>
  <w:style w:type="paragraph" w:customStyle="1" w:styleId="ParaCharCharCharChar">
    <w:name w:val="默认段落字体 Para Char Char Char Char"/>
    <w:basedOn w:val="Normal"/>
    <w:qFormat/>
    <w:rPr>
      <w:rFonts w:eastAsia="宋体"/>
      <w:sz w:val="21"/>
      <w:szCs w:val="20"/>
    </w:rPr>
  </w:style>
  <w:style w:type="paragraph" w:customStyle="1" w:styleId="Style2">
    <w:name w:val="_Style 2"/>
    <w:basedOn w:val="Normal"/>
    <w:qFormat/>
  </w:style>
  <w:style w:type="paragraph" w:customStyle="1" w:styleId="a1">
    <w:name w:val="标准书脚_偶数页"/>
    <w:qFormat/>
    <w:pPr>
      <w:spacing w:before="120"/>
      <w:ind w:left="221"/>
    </w:pPr>
    <w:rPr>
      <w:rFonts w:ascii="宋体" w:eastAsia="宋体" w:hAnsi="Times New Roman" w:cs="Times New Roman"/>
      <w:sz w:val="18"/>
      <w:szCs w:val="18"/>
      <w:lang w:val="en-US" w:eastAsia="zh-CN" w:bidi="ar-SA"/>
    </w:rPr>
  </w:style>
  <w:style w:type="paragraph" w:styleId="ListParagraph">
    <w:name w:val="List Paragraph"/>
    <w:basedOn w:val="Normal"/>
    <w:qFormat/>
    <w:pPr>
      <w:ind w:firstLine="420" w:firstLineChars="200"/>
    </w:pPr>
    <w:rPr>
      <w:rFonts w:ascii="仿宋_GB2312" w:hAnsi="宋体"/>
    </w:rPr>
  </w:style>
  <w:style w:type="paragraph" w:customStyle="1" w:styleId="a2">
    <w:name w:val="标准书眉_偶数页"/>
    <w:basedOn w:val="a3"/>
    <w:next w:val="Normal"/>
    <w:qFormat/>
    <w:pPr>
      <w:tabs>
        <w:tab w:val="center" w:pos="4154"/>
        <w:tab w:val="right" w:pos="8306"/>
      </w:tabs>
      <w:jc w:val="left"/>
    </w:pPr>
  </w:style>
  <w:style w:type="paragraph" w:customStyle="1" w:styleId="a3">
    <w:name w:val="标准书眉_奇数页"/>
    <w:next w:val="Normal"/>
    <w:qFormat/>
    <w:pPr>
      <w:tabs>
        <w:tab w:val="center" w:pos="4154"/>
        <w:tab w:val="right" w:pos="8306"/>
      </w:tabs>
      <w:spacing w:after="220"/>
      <w:jc w:val="right"/>
    </w:pPr>
    <w:rPr>
      <w:rFonts w:ascii="黑体" w:eastAsia="黑体" w:hAnsi="Times New Roman" w:cs="Times New Roman"/>
      <w:sz w:val="21"/>
      <w:szCs w:val="21"/>
      <w:lang w:val="en-US" w:eastAsia="zh-CN" w:bidi="ar-SA"/>
    </w:rPr>
  </w:style>
  <w:style w:type="character" w:customStyle="1" w:styleId="Char0">
    <w:name w:val="批注框文本 Char"/>
    <w:basedOn w:val="DefaultParagraphFont"/>
    <w:link w:val="BalloonText"/>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1646</Words>
  <Characters>9385</Characters>
  <Application>Microsoft Office Word</Application>
  <DocSecurity>0</DocSecurity>
  <Lines>78</Lines>
  <Paragraphs>22</Paragraphs>
  <ScaleCrop>false</ScaleCrop>
  <Company>微软用户</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河北省建立行政权力清单制度工作指南</dc:title>
  <dc:creator>USER</dc:creator>
  <cp:lastModifiedBy>路飞开Jeep</cp:lastModifiedBy>
  <cp:revision>9</cp:revision>
  <cp:lastPrinted>2020-11-27T08:26:00Z</cp:lastPrinted>
  <dcterms:created xsi:type="dcterms:W3CDTF">2020-11-27T07:52:00Z</dcterms:created>
  <dcterms:modified xsi:type="dcterms:W3CDTF">2023-11-20T08:28:10Z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ED8D621DCD144B3C9BBF532B2A7F63EB</vt:lpwstr>
  </property>
  <property fmtid="{D5CDD505-2E9C-101B-9397-08002B2CF9AE}" pid="3" name="KSOProductBuildVer">
    <vt:lpwstr>2052-12.1.0.15712</vt:lpwstr>
  </property>
</Properties>
</file>