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  <w:lang w:eastAsia="zh-CN"/>
        </w:rPr>
        <w:t>桥东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街道办事处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年政府信息公开工作年度报告</w:t>
      </w:r>
    </w:p>
    <w:p>
      <w:pPr>
        <w:pStyle w:val="4"/>
        <w:widowControl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根据《中华人民共和国政府信息公开条例》（国务院令第711号，以下简称《条例》）规定和《国务院办公厅政府信息与政务公开办公室关于印发&lt;中华人民共和国政府信息公开工作年度报告格式&gt;的通知》要求，结合桥东街道办事处2022年度政府信息公开工作实际，编制本报告。本报告内容包括总体情况、主动公开政府信息情况、收到和办理政府信息公开申请情况、因政府信息公开工作被申请行政复议和提起行政诉讼情况、政府信息公开工作存在的主要问题及改进情况、其他需要报告的事项等六个部分。本年度报告中所列数据统计期限从2022年1月1日到12月31日止。本年度报告电子版可从承德市双桥区人民政府门户网站（http://www.sqq.gov.cn/）下载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桥东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街道信息公开工作以习近平新时代中国特色社会主义思想为指导，全面贯彻党的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二十大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精神，按照党中央、国务院，省委、省政府，市委、市政府和区委、区政府关于政府信息公开工作的决策部署，以法律、法规、政策为依据，贯彻落实《中华人民共和国政府信息公开条例》，规范政务公开要求，深化政务公开内容，提高政务公开水平，深化政府信息公开工作。截至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年12月底，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桥东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街道政务信息网主动公开政府信息共</w:t>
      </w:r>
      <w:bookmarkStart w:id="0" w:name="_GoBack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计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条，其中党的政策、街道动态、信息公开指南、信息公开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目录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等信息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政策文件及政策解读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20条，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最新概况、近期重点工作会议纪要、方案部署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条，公告公示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条，预决算相关信息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行政执法相关信息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13条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</w:rPr>
        <w:t>，保证信息公开内容详实，具有时效性。</w:t>
      </w:r>
    </w:p>
    <w:bookmarkEnd w:id="0"/>
    <w:p>
      <w:pPr>
        <w:pStyle w:val="4"/>
        <w:widowControl/>
        <w:spacing w:beforeAutospacing="0" w:after="192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pStyle w:val="4"/>
        <w:widowControl/>
        <w:spacing w:beforeAutospacing="0" w:after="192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106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56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（一）目前，我街道政府信息公开工作取得了一定成效，但也存在着一些问题和不足。一是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需提高对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政府信息公开工作重要性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认识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，部分科室对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政府信息公开的有关细则和政策的把握还不够全面；二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是信息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公开力度和及时性有待提高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公开资料管理不够规范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；三是政务公开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内容不够全面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（二）改进措施。针对这些问题，我街道下一步将重点做好三方面的工作。一是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切实加强思想重视，通过会议、举办培训等方式组织各科室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认真学习政府信息公开有关细则和政策，进一步提高我街道政务公开工作的能力和水平。二是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积极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了解和掌握群众普遍关注的信息动态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，充分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拓宽政府信息的公开内容与渠道，不断调整和充实政府信息公开内容，加强信息公开力度，不断拓宽公开渠道；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  <w:shd w:val="clear" w:color="auto" w:fill="FFFFFF"/>
        </w:rPr>
        <w:t>无。</w:t>
      </w:r>
    </w:p>
    <w:p>
      <w:pPr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5AD15C67-C1E2-42B7-B6C3-B26AC9338F5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DA58EFF8-22D8-4374-B3F7-38954C2FC353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5FA7D2E4-E6DF-416C-B620-3D3F3C213C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3CAC7B-7727-4483-B551-43C58860CA68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5" w:fontKey="{C28BE917-D8C9-455C-ADE1-68890A9AAA2E}"/>
  </w:font>
  <w:font w:name="Segoe UI">
    <w:panose1 w:val="020B0502040204020203"/>
    <w:charset w:val="00"/>
    <w:family w:val="swiss"/>
    <w:pitch w:val="default"/>
    <w:sig w:usb0="00000000" w:usb1="00000000" w:usb2="00000000" w:usb3="00000000" w:csb0="00000000" w:csb1="00000000"/>
    <w:embedRegular r:id="rId6" w:fontKey="{CF7FF3B8-7884-4A0F-B3C5-ADD3E23956F3}"/>
  </w:font>
  <w:font w:name="楷体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7" w:fontKey="{5290BE87-0F53-43AC-846C-6496163E4ACF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0MTc2ZDQxZWQ4OTM4ZDc4OGM2ZGM3ZTY2MmRhNjQifQ=="/>
  </w:docVars>
  <w:rsids>
    <w:rsidRoot w:val="2DF130FA"/>
    <w:rsid w:val="00020CE9"/>
    <w:rsid w:val="00063DF9"/>
    <w:rsid w:val="000760BC"/>
    <w:rsid w:val="000E7365"/>
    <w:rsid w:val="00117792"/>
    <w:rsid w:val="00186A0B"/>
    <w:rsid w:val="0019484E"/>
    <w:rsid w:val="00195919"/>
    <w:rsid w:val="00231CA4"/>
    <w:rsid w:val="00250796"/>
    <w:rsid w:val="002E7BB5"/>
    <w:rsid w:val="003203D3"/>
    <w:rsid w:val="00440286"/>
    <w:rsid w:val="00462FE3"/>
    <w:rsid w:val="004B1883"/>
    <w:rsid w:val="006154E0"/>
    <w:rsid w:val="0062606A"/>
    <w:rsid w:val="00667AB2"/>
    <w:rsid w:val="007302B6"/>
    <w:rsid w:val="008368FB"/>
    <w:rsid w:val="00872415"/>
    <w:rsid w:val="0090267C"/>
    <w:rsid w:val="009C4A97"/>
    <w:rsid w:val="00A40C7D"/>
    <w:rsid w:val="00A66602"/>
    <w:rsid w:val="00A905AB"/>
    <w:rsid w:val="00A91831"/>
    <w:rsid w:val="00B65065"/>
    <w:rsid w:val="00B955B4"/>
    <w:rsid w:val="00BA798A"/>
    <w:rsid w:val="00C0103D"/>
    <w:rsid w:val="00C03FD0"/>
    <w:rsid w:val="00C60416"/>
    <w:rsid w:val="00CF4D8B"/>
    <w:rsid w:val="00DB4DA1"/>
    <w:rsid w:val="00DC03C7"/>
    <w:rsid w:val="00DE6171"/>
    <w:rsid w:val="00E91E58"/>
    <w:rsid w:val="00F56F5F"/>
    <w:rsid w:val="00FF277D"/>
    <w:rsid w:val="02C66526"/>
    <w:rsid w:val="034A70C0"/>
    <w:rsid w:val="05A61B0B"/>
    <w:rsid w:val="05B747B5"/>
    <w:rsid w:val="06894FE1"/>
    <w:rsid w:val="074E51D5"/>
    <w:rsid w:val="087C11FA"/>
    <w:rsid w:val="088C3CD7"/>
    <w:rsid w:val="09947042"/>
    <w:rsid w:val="09FF478C"/>
    <w:rsid w:val="0AB063A2"/>
    <w:rsid w:val="0D2A3ABE"/>
    <w:rsid w:val="0E286250"/>
    <w:rsid w:val="0E7C659C"/>
    <w:rsid w:val="0FEC49C9"/>
    <w:rsid w:val="112A01E4"/>
    <w:rsid w:val="11901D72"/>
    <w:rsid w:val="139A6BD5"/>
    <w:rsid w:val="140D7929"/>
    <w:rsid w:val="163D13D5"/>
    <w:rsid w:val="16781D3E"/>
    <w:rsid w:val="16F413C5"/>
    <w:rsid w:val="18C64FE3"/>
    <w:rsid w:val="1B522B5E"/>
    <w:rsid w:val="1B7A03D0"/>
    <w:rsid w:val="1C074ABB"/>
    <w:rsid w:val="1C1B73F4"/>
    <w:rsid w:val="1CF0262F"/>
    <w:rsid w:val="1F2813FA"/>
    <w:rsid w:val="25EB4E54"/>
    <w:rsid w:val="261A071C"/>
    <w:rsid w:val="2631412E"/>
    <w:rsid w:val="26B45DB2"/>
    <w:rsid w:val="273515C1"/>
    <w:rsid w:val="28701388"/>
    <w:rsid w:val="28B9421C"/>
    <w:rsid w:val="29742AFD"/>
    <w:rsid w:val="29840D86"/>
    <w:rsid w:val="2B59417D"/>
    <w:rsid w:val="2BA017D8"/>
    <w:rsid w:val="2CE62CD2"/>
    <w:rsid w:val="2DD12BD4"/>
    <w:rsid w:val="2DF130FA"/>
    <w:rsid w:val="2E4A3CCE"/>
    <w:rsid w:val="2F3C5BA7"/>
    <w:rsid w:val="310042F2"/>
    <w:rsid w:val="315C7E3B"/>
    <w:rsid w:val="31BC4D7D"/>
    <w:rsid w:val="335129E5"/>
    <w:rsid w:val="33594C33"/>
    <w:rsid w:val="33C46DBF"/>
    <w:rsid w:val="346239BA"/>
    <w:rsid w:val="35763D43"/>
    <w:rsid w:val="381C20D2"/>
    <w:rsid w:val="391E4F55"/>
    <w:rsid w:val="3B842468"/>
    <w:rsid w:val="3C5E53AF"/>
    <w:rsid w:val="3DFA4C63"/>
    <w:rsid w:val="3F725180"/>
    <w:rsid w:val="404239F0"/>
    <w:rsid w:val="4050500F"/>
    <w:rsid w:val="42E63A08"/>
    <w:rsid w:val="444058F7"/>
    <w:rsid w:val="44EB3558"/>
    <w:rsid w:val="464B541E"/>
    <w:rsid w:val="465D0485"/>
    <w:rsid w:val="46EE10DD"/>
    <w:rsid w:val="47136D96"/>
    <w:rsid w:val="4B7C315C"/>
    <w:rsid w:val="4BAB57EF"/>
    <w:rsid w:val="4C184DA2"/>
    <w:rsid w:val="4C6D0CF6"/>
    <w:rsid w:val="4CBD57DA"/>
    <w:rsid w:val="4F914757"/>
    <w:rsid w:val="4FCB2904"/>
    <w:rsid w:val="4FD80B7D"/>
    <w:rsid w:val="508977C0"/>
    <w:rsid w:val="54F8353C"/>
    <w:rsid w:val="594D6137"/>
    <w:rsid w:val="59AE520E"/>
    <w:rsid w:val="5A826524"/>
    <w:rsid w:val="5EC724E8"/>
    <w:rsid w:val="5F8959EF"/>
    <w:rsid w:val="604C0EF7"/>
    <w:rsid w:val="60CE747E"/>
    <w:rsid w:val="61FC51E4"/>
    <w:rsid w:val="624A17CC"/>
    <w:rsid w:val="629B2CDE"/>
    <w:rsid w:val="651D2E62"/>
    <w:rsid w:val="66CF2D85"/>
    <w:rsid w:val="678427CD"/>
    <w:rsid w:val="68AD274F"/>
    <w:rsid w:val="69CF0A8D"/>
    <w:rsid w:val="6ABC21CC"/>
    <w:rsid w:val="6B064398"/>
    <w:rsid w:val="6BD15005"/>
    <w:rsid w:val="6C725AC8"/>
    <w:rsid w:val="6FFB7B5C"/>
    <w:rsid w:val="71393D7F"/>
    <w:rsid w:val="71FE0E3C"/>
    <w:rsid w:val="75B82733"/>
    <w:rsid w:val="76656D8E"/>
    <w:rsid w:val="76CA7095"/>
    <w:rsid w:val="77690FD2"/>
    <w:rsid w:val="77D31AA6"/>
    <w:rsid w:val="7A0128FA"/>
    <w:rsid w:val="7A094245"/>
    <w:rsid w:val="7A425BDA"/>
    <w:rsid w:val="7D4C6F66"/>
    <w:rsid w:val="7EF44487"/>
    <w:rsid w:val="7EFB0C9B"/>
    <w:rsid w:val="7FA61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1829</Words>
  <Characters>1893</Characters>
  <Lines>14</Lines>
  <Paragraphs>4</Paragraphs>
  <TotalTime>58</TotalTime>
  <ScaleCrop>false</ScaleCrop>
  <LinksUpToDate>false</LinksUpToDate>
  <CharactersWithSpaces>1904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2021-01-15T01:04:00Z</dcterms:created>
  <dc:creator>深谷幽兰</dc:creator>
  <cp:lastModifiedBy>Administrator</cp:lastModifiedBy>
  <cp:lastPrinted>2023-01-12T06:36:00Z</cp:lastPrinted>
  <dcterms:modified xsi:type="dcterms:W3CDTF">2023-01-16T08:28:30Z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4612AA8D97574AE59B59EE71B713B119</vt:lpwstr>
  </property>
</Properties>
</file>